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34E13" w14:textId="77777777" w:rsidR="008E7EFA" w:rsidRDefault="008E7EFA" w:rsidP="008E7EFA">
      <w:pPr>
        <w:pStyle w:val="Bodytext20"/>
        <w:shd w:val="clear" w:color="auto" w:fill="auto"/>
        <w:spacing w:line="300" w:lineRule="exact"/>
        <w:jc w:val="center"/>
        <w:rPr>
          <w:sz w:val="22"/>
          <w:szCs w:val="22"/>
        </w:rPr>
      </w:pPr>
    </w:p>
    <w:p w14:paraId="2C772E95" w14:textId="77777777" w:rsidR="008E7EFA" w:rsidRPr="00606D21" w:rsidRDefault="008E7EFA" w:rsidP="008E7EFA">
      <w:pPr>
        <w:pStyle w:val="Bodytext20"/>
        <w:shd w:val="clear" w:color="auto" w:fill="auto"/>
        <w:spacing w:line="300" w:lineRule="exact"/>
        <w:jc w:val="center"/>
        <w:rPr>
          <w:sz w:val="22"/>
          <w:szCs w:val="22"/>
        </w:rPr>
      </w:pPr>
      <w:r w:rsidRPr="00606D21">
        <w:rPr>
          <w:sz w:val="22"/>
          <w:szCs w:val="22"/>
        </w:rPr>
        <w:t>DECYZJA NR ………</w:t>
      </w:r>
    </w:p>
    <w:p w14:paraId="7342D162" w14:textId="77777777" w:rsidR="008E7EFA" w:rsidRPr="00606D21" w:rsidRDefault="008E7EFA" w:rsidP="008E7EFA">
      <w:pPr>
        <w:pStyle w:val="Bodytext20"/>
        <w:shd w:val="clear" w:color="auto" w:fill="auto"/>
        <w:spacing w:line="300" w:lineRule="exact"/>
        <w:jc w:val="center"/>
        <w:rPr>
          <w:sz w:val="22"/>
          <w:szCs w:val="22"/>
        </w:rPr>
      </w:pPr>
      <w:r w:rsidRPr="00606D21">
        <w:rPr>
          <w:sz w:val="22"/>
          <w:szCs w:val="22"/>
        </w:rPr>
        <w:t>DYREKTORA BIURA ŁĄCZNOŚCI I INFORMATYKI</w:t>
      </w:r>
    </w:p>
    <w:p w14:paraId="656792D6" w14:textId="77777777" w:rsidR="008E7EFA" w:rsidRPr="00606D21" w:rsidRDefault="008E7EFA" w:rsidP="008E7EFA">
      <w:pPr>
        <w:pStyle w:val="Bodytext20"/>
        <w:shd w:val="clear" w:color="auto" w:fill="auto"/>
        <w:spacing w:after="120" w:line="300" w:lineRule="exact"/>
        <w:jc w:val="center"/>
        <w:rPr>
          <w:sz w:val="22"/>
          <w:szCs w:val="22"/>
        </w:rPr>
      </w:pPr>
      <w:r w:rsidRPr="00606D21">
        <w:rPr>
          <w:sz w:val="22"/>
          <w:szCs w:val="22"/>
        </w:rPr>
        <w:t>KOMENDY GŁÓWNEJ POLICJI</w:t>
      </w:r>
    </w:p>
    <w:p w14:paraId="51790DDB" w14:textId="7FCF0519" w:rsidR="008E7EFA" w:rsidRPr="00606D21" w:rsidRDefault="008E7EFA" w:rsidP="008E7EFA">
      <w:pPr>
        <w:pStyle w:val="Tekstpodstawowy1"/>
        <w:shd w:val="clear" w:color="auto" w:fill="auto"/>
        <w:spacing w:after="120" w:line="300" w:lineRule="exact"/>
        <w:ind w:firstLine="0"/>
        <w:rPr>
          <w:sz w:val="22"/>
          <w:szCs w:val="22"/>
        </w:rPr>
      </w:pPr>
      <w:r w:rsidRPr="00606D21">
        <w:rPr>
          <w:sz w:val="22"/>
          <w:szCs w:val="22"/>
        </w:rPr>
        <w:t>z dnia ………………………… 202</w:t>
      </w:r>
      <w:r w:rsidR="0029366C">
        <w:rPr>
          <w:sz w:val="22"/>
          <w:szCs w:val="22"/>
        </w:rPr>
        <w:t>5</w:t>
      </w:r>
      <w:r w:rsidRPr="00606D21">
        <w:rPr>
          <w:sz w:val="22"/>
          <w:szCs w:val="22"/>
        </w:rPr>
        <w:t xml:space="preserve"> r.</w:t>
      </w:r>
    </w:p>
    <w:p w14:paraId="2C157CE7" w14:textId="77777777" w:rsidR="008E7EFA" w:rsidRPr="00606D21" w:rsidRDefault="008E7EFA" w:rsidP="008E7EFA">
      <w:pPr>
        <w:pStyle w:val="Bodytext20"/>
        <w:shd w:val="clear" w:color="auto" w:fill="auto"/>
        <w:spacing w:line="300" w:lineRule="exact"/>
        <w:ind w:left="221"/>
        <w:jc w:val="center"/>
        <w:rPr>
          <w:sz w:val="22"/>
          <w:szCs w:val="22"/>
        </w:rPr>
      </w:pPr>
      <w:r w:rsidRPr="00606D21">
        <w:rPr>
          <w:sz w:val="22"/>
          <w:szCs w:val="22"/>
        </w:rPr>
        <w:t>zmieniająca decyzję w sprawie szczegółowej struktury organizacyjnej i schematu organizacyjnego Biura Łączności i Informatyki Komendy Głównej Policji, podziału zadań między dyrektorem a jego zastępcami oraz katalogu zadań komórek organizacyjnych</w:t>
      </w:r>
    </w:p>
    <w:p w14:paraId="4F656470" w14:textId="77777777" w:rsidR="008E7EFA" w:rsidRPr="00606D21" w:rsidRDefault="008E7EFA" w:rsidP="008E7EFA">
      <w:pPr>
        <w:pStyle w:val="Bodytext20"/>
        <w:shd w:val="clear" w:color="auto" w:fill="auto"/>
        <w:spacing w:line="300" w:lineRule="exact"/>
        <w:ind w:left="221"/>
        <w:jc w:val="center"/>
        <w:rPr>
          <w:sz w:val="22"/>
          <w:szCs w:val="22"/>
        </w:rPr>
      </w:pPr>
    </w:p>
    <w:p w14:paraId="7FCAF134" w14:textId="77777777" w:rsidR="008E7EFA" w:rsidRPr="00606D21" w:rsidRDefault="008E7EFA" w:rsidP="008E7EFA">
      <w:pPr>
        <w:pStyle w:val="Tekstpodstawowy1"/>
        <w:shd w:val="clear" w:color="auto" w:fill="auto"/>
        <w:spacing w:after="120" w:line="300" w:lineRule="exact"/>
        <w:ind w:firstLine="425"/>
        <w:jc w:val="both"/>
        <w:rPr>
          <w:sz w:val="22"/>
          <w:szCs w:val="22"/>
        </w:rPr>
      </w:pPr>
      <w:r w:rsidRPr="00606D21">
        <w:rPr>
          <w:sz w:val="22"/>
          <w:szCs w:val="22"/>
        </w:rPr>
        <w:t>Na podstawie § 12 ust. 1 zarządzenia nr 2 Komendanta Głównego Policji z dnia 1 kwietnia 2016 r. w sprawie regulaminu Komendy Głównej Policji (</w:t>
      </w:r>
      <w:hyperlink r:id="rId7" w:history="1">
        <w:r w:rsidRPr="00606D21">
          <w:rPr>
            <w:sz w:val="22"/>
            <w:szCs w:val="22"/>
          </w:rPr>
          <w:t>Dz. Urz. KGP poz. 13</w:t>
        </w:r>
      </w:hyperlink>
      <w:r w:rsidRPr="00606D21">
        <w:rPr>
          <w:sz w:val="22"/>
          <w:szCs w:val="22"/>
        </w:rPr>
        <w:t>, z późn. zm.</w:t>
      </w:r>
      <w:r w:rsidRPr="00606D21">
        <w:rPr>
          <w:rStyle w:val="Odwoanieprzypisudolnego"/>
          <w:sz w:val="22"/>
          <w:szCs w:val="22"/>
        </w:rPr>
        <w:footnoteReference w:id="1"/>
      </w:r>
      <w:r w:rsidRPr="00606D21">
        <w:rPr>
          <w:sz w:val="22"/>
          <w:szCs w:val="22"/>
          <w:vertAlign w:val="superscript"/>
        </w:rPr>
        <w:t>)</w:t>
      </w:r>
      <w:r w:rsidRPr="00606D21">
        <w:rPr>
          <w:sz w:val="22"/>
          <w:szCs w:val="22"/>
        </w:rPr>
        <w:t>) postanawia się, co następuje:</w:t>
      </w:r>
    </w:p>
    <w:p w14:paraId="279453E6" w14:textId="134C74B4" w:rsidR="008E7EFA" w:rsidRPr="00606D21" w:rsidRDefault="008E7EFA" w:rsidP="008E7EFA">
      <w:pPr>
        <w:pStyle w:val="Tekstpodstawowy1"/>
        <w:shd w:val="clear" w:color="auto" w:fill="auto"/>
        <w:spacing w:after="120" w:line="300" w:lineRule="exact"/>
        <w:ind w:firstLine="425"/>
        <w:jc w:val="both"/>
        <w:rPr>
          <w:sz w:val="22"/>
          <w:szCs w:val="22"/>
        </w:rPr>
      </w:pPr>
      <w:r w:rsidRPr="00606D21">
        <w:rPr>
          <w:b/>
          <w:sz w:val="22"/>
          <w:szCs w:val="22"/>
        </w:rPr>
        <w:t>§ 1.</w:t>
      </w:r>
      <w:r w:rsidRPr="00606D21">
        <w:rPr>
          <w:sz w:val="22"/>
          <w:szCs w:val="22"/>
        </w:rPr>
        <w:t xml:space="preserve"> W decyzji nr 97 Dyrektora Biura Łączności i Informatyki Komendy Głównej Policji z dnia 27 maja 2020 r. w sprawie szczegółowej struktury organizacyjnej i schematu organizacyjnego Biura Łączności i Informatyki Komendy Głównej Policji, podziału zadań między dyrektorem a jego zastępcami oraz katalogu zadań komórek organizacyjnych, zmienionej decyzją nr 184 z dnia 26 października 2021 r., decyzj</w:t>
      </w:r>
      <w:r w:rsidR="00007A1A">
        <w:rPr>
          <w:sz w:val="22"/>
          <w:szCs w:val="22"/>
        </w:rPr>
        <w:t>ą nr 40 z dnia 23 marca 2022 r.,</w:t>
      </w:r>
      <w:r w:rsidRPr="00606D21">
        <w:rPr>
          <w:sz w:val="22"/>
          <w:szCs w:val="22"/>
        </w:rPr>
        <w:t xml:space="preserve"> decyzją nr 80 z dnia 12 maja 2023 r. </w:t>
      </w:r>
      <w:r w:rsidR="00007A1A">
        <w:rPr>
          <w:sz w:val="22"/>
          <w:szCs w:val="22"/>
        </w:rPr>
        <w:t xml:space="preserve">oraz decyzją nr 93 z dnia 6 czerwca 2024 r. </w:t>
      </w:r>
      <w:r w:rsidRPr="00606D21">
        <w:rPr>
          <w:sz w:val="22"/>
          <w:szCs w:val="22"/>
        </w:rPr>
        <w:t>wprowadza się następujące zmiany:</w:t>
      </w:r>
    </w:p>
    <w:p w14:paraId="006369B6" w14:textId="18396880" w:rsidR="008E7EFA" w:rsidRPr="00606D21" w:rsidRDefault="008E7EFA" w:rsidP="00FF5E1B">
      <w:pPr>
        <w:spacing w:after="120" w:line="300" w:lineRule="exact"/>
        <w:ind w:left="567" w:hanging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06D21">
        <w:rPr>
          <w:rFonts w:ascii="Times New Roman" w:eastAsia="Times New Roman" w:hAnsi="Times New Roman" w:cs="Times New Roman"/>
          <w:color w:val="auto"/>
          <w:sz w:val="22"/>
          <w:szCs w:val="22"/>
        </w:rPr>
        <w:t>1)</w:t>
      </w:r>
      <w:r w:rsidRPr="00606D2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w § </w:t>
      </w:r>
      <w:r w:rsidR="0029366C">
        <w:rPr>
          <w:rFonts w:ascii="Times New Roman" w:eastAsia="Times New Roman" w:hAnsi="Times New Roman" w:cs="Times New Roman"/>
          <w:color w:val="auto"/>
          <w:sz w:val="22"/>
          <w:szCs w:val="22"/>
        </w:rPr>
        <w:t>1</w:t>
      </w:r>
      <w:r w:rsidRPr="00606D2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w ust. 1 pkt </w:t>
      </w:r>
      <w:r w:rsidR="0029366C">
        <w:rPr>
          <w:rFonts w:ascii="Times New Roman" w:eastAsia="Times New Roman" w:hAnsi="Times New Roman" w:cs="Times New Roman"/>
          <w:color w:val="auto"/>
          <w:sz w:val="22"/>
          <w:szCs w:val="22"/>
        </w:rPr>
        <w:t>12</w:t>
      </w:r>
      <w:r w:rsidRPr="00606D2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otrzymuje brzmienie:</w:t>
      </w:r>
    </w:p>
    <w:p w14:paraId="1E3E3E53" w14:textId="1D328140" w:rsidR="007E06C4" w:rsidRDefault="008E7EFA" w:rsidP="008E7EFA">
      <w:pPr>
        <w:spacing w:line="300" w:lineRule="exact"/>
        <w:ind w:left="879" w:hanging="45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06D21">
        <w:rPr>
          <w:rFonts w:ascii="Times New Roman" w:eastAsia="Times New Roman" w:hAnsi="Times New Roman" w:cs="Times New Roman"/>
          <w:color w:val="auto"/>
          <w:sz w:val="22"/>
          <w:szCs w:val="22"/>
        </w:rPr>
        <w:t>„</w:t>
      </w:r>
      <w:r w:rsidR="0029366C">
        <w:rPr>
          <w:rFonts w:ascii="Times New Roman" w:eastAsia="Times New Roman" w:hAnsi="Times New Roman" w:cs="Times New Roman"/>
          <w:color w:val="auto"/>
          <w:sz w:val="22"/>
          <w:szCs w:val="22"/>
        </w:rPr>
        <w:t>12</w:t>
      </w:r>
      <w:r w:rsidRPr="00606D2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) </w:t>
      </w:r>
      <w:r w:rsidR="0029366C" w:rsidRPr="0029366C">
        <w:rPr>
          <w:rFonts w:ascii="Times New Roman" w:eastAsia="Times New Roman" w:hAnsi="Times New Roman" w:cs="Times New Roman"/>
          <w:color w:val="auto"/>
          <w:sz w:val="22"/>
          <w:szCs w:val="22"/>
        </w:rPr>
        <w:t>Wydział Wsparcia Programistycz</w:t>
      </w:r>
      <w:r w:rsidR="00326AF1">
        <w:rPr>
          <w:rFonts w:ascii="Times New Roman" w:eastAsia="Times New Roman" w:hAnsi="Times New Roman" w:cs="Times New Roman"/>
          <w:color w:val="auto"/>
          <w:sz w:val="22"/>
          <w:szCs w:val="22"/>
        </w:rPr>
        <w:t>nego, w skład którego wchodzą</w:t>
      </w:r>
      <w:r w:rsidR="007E06C4">
        <w:rPr>
          <w:rFonts w:ascii="Times New Roman" w:eastAsia="Times New Roman" w:hAnsi="Times New Roman" w:cs="Times New Roman"/>
          <w:color w:val="auto"/>
          <w:sz w:val="22"/>
          <w:szCs w:val="22"/>
        </w:rPr>
        <w:t>:</w:t>
      </w:r>
    </w:p>
    <w:p w14:paraId="52796961" w14:textId="0A06139C" w:rsidR="007E06C4" w:rsidRDefault="0029366C" w:rsidP="007E06C4">
      <w:pPr>
        <w:pStyle w:val="Akapitzlist"/>
        <w:numPr>
          <w:ilvl w:val="0"/>
          <w:numId w:val="10"/>
        </w:numPr>
        <w:spacing w:line="300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E06C4">
        <w:rPr>
          <w:rFonts w:ascii="Times New Roman" w:eastAsia="Times New Roman" w:hAnsi="Times New Roman" w:cs="Times New Roman"/>
          <w:color w:val="auto"/>
          <w:sz w:val="22"/>
          <w:szCs w:val="22"/>
        </w:rPr>
        <w:t>Sekcja Programistów w Katowicach</w:t>
      </w:r>
      <w:r w:rsidR="007E06C4">
        <w:rPr>
          <w:rFonts w:ascii="Times New Roman" w:eastAsia="Times New Roman" w:hAnsi="Times New Roman" w:cs="Times New Roman"/>
          <w:color w:val="auto"/>
          <w:sz w:val="22"/>
          <w:szCs w:val="22"/>
        </w:rPr>
        <w:t>;</w:t>
      </w:r>
      <w:r w:rsidRPr="007E06C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0DB25B7" w14:textId="44ABB6BA" w:rsidR="008E7EFA" w:rsidRPr="007E06C4" w:rsidRDefault="0029366C" w:rsidP="007E06C4">
      <w:pPr>
        <w:pStyle w:val="Akapitzlist"/>
        <w:numPr>
          <w:ilvl w:val="0"/>
          <w:numId w:val="10"/>
        </w:numPr>
        <w:spacing w:line="300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E06C4">
        <w:rPr>
          <w:rFonts w:ascii="Times New Roman" w:eastAsia="Times New Roman" w:hAnsi="Times New Roman" w:cs="Times New Roman"/>
          <w:color w:val="auto"/>
          <w:sz w:val="22"/>
          <w:szCs w:val="22"/>
        </w:rPr>
        <w:t>Sekcja Programistów w Kielcach</w:t>
      </w:r>
      <w:r w:rsidR="007E06C4">
        <w:rPr>
          <w:rFonts w:ascii="Times New Roman" w:eastAsia="Times New Roman" w:hAnsi="Times New Roman" w:cs="Times New Roman"/>
          <w:color w:val="auto"/>
          <w:sz w:val="22"/>
          <w:szCs w:val="22"/>
        </w:rPr>
        <w:t>.”</w:t>
      </w:r>
    </w:p>
    <w:p w14:paraId="4D0AD534" w14:textId="125F7496" w:rsidR="00575BDF" w:rsidRPr="00B3573C" w:rsidRDefault="00B12391" w:rsidP="00546A8B">
      <w:pPr>
        <w:spacing w:before="120" w:line="300" w:lineRule="exact"/>
        <w:ind w:left="567" w:hanging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06D21">
        <w:rPr>
          <w:rFonts w:ascii="Times New Roman" w:eastAsia="Times New Roman" w:hAnsi="Times New Roman" w:cs="Times New Roman"/>
          <w:color w:val="auto"/>
          <w:sz w:val="22"/>
          <w:szCs w:val="22"/>
        </w:rPr>
        <w:t>2)</w:t>
      </w:r>
      <w:r w:rsidRPr="00606D2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546A8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w </w:t>
      </w:r>
      <w:r w:rsidR="008E7EFA" w:rsidRPr="00606D2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§ </w:t>
      </w:r>
      <w:r w:rsidR="0029366C">
        <w:rPr>
          <w:rFonts w:ascii="Times New Roman" w:eastAsia="Times New Roman" w:hAnsi="Times New Roman" w:cs="Times New Roman"/>
          <w:color w:val="auto"/>
          <w:sz w:val="22"/>
          <w:szCs w:val="22"/>
        </w:rPr>
        <w:t>16</w:t>
      </w:r>
      <w:r w:rsidR="00546A8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po ust. 2 dodaje się ust. 3 w brzmieniu:</w:t>
      </w:r>
      <w:r w:rsidR="008E7EFA" w:rsidRPr="00606D2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2A33B18" w14:textId="357A63E1" w:rsidR="0029366C" w:rsidRPr="00B3573C" w:rsidRDefault="002B2ACC" w:rsidP="00546A8B">
      <w:pPr>
        <w:spacing w:before="120" w:line="300" w:lineRule="exact"/>
        <w:ind w:left="426" w:hanging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„</w:t>
      </w:r>
      <w:r w:rsidR="0029366C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3. Do zadań Sekcji Programistów w Kielcach Wydziału Wsparcia Programistycznego należy w szczególności:</w:t>
      </w:r>
    </w:p>
    <w:p w14:paraId="5B1EEEAB" w14:textId="4E96B7B1" w:rsidR="0029366C" w:rsidRPr="00B3573C" w:rsidRDefault="0029366C" w:rsidP="00FF5E1B">
      <w:pPr>
        <w:pStyle w:val="Akapitzlist"/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wykonywanie prac programistycznych realizujących potrzeby i wymagania użytkowników końcowych zgodnie z kierunkami wyznaczonymi przez architektów rozwiązań programistycznych;</w:t>
      </w:r>
    </w:p>
    <w:p w14:paraId="4CB705FD" w14:textId="55E52529" w:rsidR="0029366C" w:rsidRPr="00B3573C" w:rsidRDefault="0029366C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opracowywanie dokumentacji analitycznej, projektowej, testowej oraz powykonawczej w zakresie produktów programistycznych opracowywanych w wydziale;</w:t>
      </w:r>
    </w:p>
    <w:p w14:paraId="246D9C05" w14:textId="0711EE07" w:rsidR="0029366C" w:rsidRPr="00B3573C" w:rsidRDefault="0029366C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autorski nadzór nad wytworzonym i wdrożonym oprogramowaniem oraz dokonywanie w nim niezbędnych modyfikacji;</w:t>
      </w:r>
    </w:p>
    <w:p w14:paraId="1C072EE1" w14:textId="02AF9ED5" w:rsidR="0029366C" w:rsidRPr="00B3573C" w:rsidRDefault="0029366C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zapewnianie spójności zmian w policyjnych systemach teleinformatycznych</w:t>
      </w:r>
      <w:r w:rsidR="006B712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oraz zgodności z oczekiwaniami użytkownika końcowego</w:t>
      </w:r>
      <w:r w:rsidR="006B712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m.in. w Elektronicznym Rejestrze Czynności Dochodzeniowo-Śledczych (ERCDŚ)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;</w:t>
      </w:r>
    </w:p>
    <w:p w14:paraId="14887954" w14:textId="0A25A59D" w:rsidR="0029366C" w:rsidRPr="00B3573C" w:rsidRDefault="0029366C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zapewnienie wsparcia i konsultacji w zakresie prowadzonych w biurze projektów teleinformatycznych</w:t>
      </w:r>
      <w:r w:rsidR="00575BDF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;</w:t>
      </w:r>
    </w:p>
    <w:p w14:paraId="1679CE67" w14:textId="77777777" w:rsidR="00575BDF" w:rsidRPr="00B3573C" w:rsidRDefault="00575BDF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aktywne poszukiwanie zagrożeń </w:t>
      </w:r>
      <w:proofErr w:type="spellStart"/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cyberbezpieczeństwa</w:t>
      </w:r>
      <w:proofErr w:type="spellEnd"/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CyberThreat</w:t>
      </w:r>
      <w:proofErr w:type="spellEnd"/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Intelligence</w:t>
      </w:r>
      <w:proofErr w:type="spellEnd"/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i </w:t>
      </w:r>
      <w:proofErr w:type="spellStart"/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ThreatHunting</w:t>
      </w:r>
      <w:proofErr w:type="spellEnd"/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);</w:t>
      </w:r>
    </w:p>
    <w:p w14:paraId="59F00ACD" w14:textId="77777777" w:rsidR="00575BDF" w:rsidRPr="00B3573C" w:rsidRDefault="00575BDF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analizowanie złośliwego oprogramowania;</w:t>
      </w:r>
    </w:p>
    <w:p w14:paraId="68DB3BF4" w14:textId="77777777" w:rsidR="00575BDF" w:rsidRPr="00B3573C" w:rsidRDefault="00575BDF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badanie bezpieczeństwa, podatności i testowanie sprzętu lub oprogramowania;</w:t>
      </w:r>
    </w:p>
    <w:p w14:paraId="3D97E58B" w14:textId="77777777" w:rsidR="00575BDF" w:rsidRPr="00B3573C" w:rsidRDefault="00575BDF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dokonywanie oceny bezpieczeństwa systemów informacyjnych, w tym przeprowadzanie testów penetracyjnych i audytów bezpieczeństwa;</w:t>
      </w:r>
    </w:p>
    <w:p w14:paraId="074DE08A" w14:textId="77777777" w:rsidR="00575BDF" w:rsidRPr="00B3573C" w:rsidRDefault="00575BDF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prowadzenie specjalistycznych analiz cyberbezpieczeństwa i wykrywanie nowych podatności;</w:t>
      </w:r>
    </w:p>
    <w:p w14:paraId="51ABB5D8" w14:textId="77777777" w:rsidR="00575BDF" w:rsidRPr="00B3573C" w:rsidRDefault="00575BDF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rozwijanie specjalistycznych narzędzi technicznych wspomagających realizację zadań z zakresu cyberbezpieczeństwa;</w:t>
      </w:r>
    </w:p>
    <w:p w14:paraId="436C03A6" w14:textId="77777777" w:rsidR="00575BDF" w:rsidRPr="00B3573C" w:rsidRDefault="00575BDF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prowadzenie działań prewencyjnych zwiększających cyberbezpieczeństwa;</w:t>
      </w:r>
    </w:p>
    <w:p w14:paraId="21D4CB87" w14:textId="77777777" w:rsidR="00575BDF" w:rsidRPr="00B3573C" w:rsidRDefault="00575BDF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prowadzenie zaawansowanych działań z zakresu aktywnej obrony systemów informacyjnych;</w:t>
      </w:r>
    </w:p>
    <w:p w14:paraId="7B90B3CF" w14:textId="64523E5E" w:rsidR="00575BDF" w:rsidRPr="00B3573C" w:rsidRDefault="00575BDF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bieżące utrzymanie i rozwój własnych, istotnych systemów informacyjnych</w:t>
      </w:r>
      <w:r w:rsidR="00015971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w szczególności rozbudowa systemu pod nazwą Elektroniczny Rejestr Czynności Dochodzeniowo-Śledczych (ERCDŚ) oraz integracja z systemami policyjnymi oraz </w:t>
      </w:r>
      <w:r w:rsidR="006B712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systemami </w:t>
      </w:r>
      <w:r w:rsidR="00015971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innych instytucj</w:t>
      </w:r>
      <w:r w:rsidR="009715E4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i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;</w:t>
      </w:r>
    </w:p>
    <w:p w14:paraId="794F0E1F" w14:textId="77777777" w:rsidR="00575BDF" w:rsidRPr="00B3573C" w:rsidRDefault="00575BDF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poszukiwanie znanych podatności sprzętu i oprogramowania w nadzorowanych systemach teleinformatycznych;</w:t>
      </w:r>
    </w:p>
    <w:p w14:paraId="68DDBA43" w14:textId="77777777" w:rsidR="00575BDF" w:rsidRPr="00B3573C" w:rsidRDefault="00575BDF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wstępna obsługa incydentów;</w:t>
      </w:r>
    </w:p>
    <w:p w14:paraId="4A1804B7" w14:textId="1AC8ED2C" w:rsidR="00575BDF" w:rsidRPr="00B3573C" w:rsidRDefault="00575BDF" w:rsidP="00FF5E1B">
      <w:pPr>
        <w:numPr>
          <w:ilvl w:val="0"/>
          <w:numId w:val="7"/>
        </w:numPr>
        <w:spacing w:before="120" w:line="300" w:lineRule="exact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rozpoznawanie zagrożeń </w:t>
      </w:r>
      <w:proofErr w:type="spellStart"/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cyberbezpieczeństwa</w:t>
      </w:r>
      <w:proofErr w:type="spellEnd"/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6F5A9AE2" w14:textId="0B3FD1C0" w:rsidR="008E7EFA" w:rsidRPr="00B3573C" w:rsidRDefault="008C246F" w:rsidP="0029366C">
      <w:pPr>
        <w:spacing w:before="120" w:line="300" w:lineRule="exact"/>
        <w:ind w:left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3)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8E7EF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załącznik do decyzji otrzymuje brzmienie określone w załączniku do niniejszej decyzji</w:t>
      </w:r>
      <w:r w:rsidR="002B2ACC">
        <w:rPr>
          <w:rFonts w:ascii="Times New Roman" w:eastAsia="Times New Roman" w:hAnsi="Times New Roman" w:cs="Times New Roman"/>
          <w:color w:val="auto"/>
          <w:sz w:val="22"/>
          <w:szCs w:val="22"/>
        </w:rPr>
        <w:t>”</w:t>
      </w:r>
      <w:r w:rsidR="008E7EF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01F4B45C" w14:textId="77777777" w:rsidR="008E7EFA" w:rsidRPr="00B3573C" w:rsidRDefault="008E7EFA" w:rsidP="008E7EFA">
      <w:pPr>
        <w:spacing w:line="300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23B7E266" w14:textId="35952E05" w:rsidR="008E7EFA" w:rsidRPr="00B3573C" w:rsidRDefault="008E7EFA" w:rsidP="008E7EFA">
      <w:pPr>
        <w:shd w:val="clear" w:color="auto" w:fill="FFFFFF"/>
        <w:spacing w:line="300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§ 2.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Decyzja wc</w:t>
      </w:r>
      <w:r w:rsidR="00F7183B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hodzi w życie z dniem </w:t>
      </w:r>
      <w:r w:rsid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podpisania</w:t>
      </w:r>
      <w:r w:rsidR="00326AF1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r w:rsid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z mocą obowiązywania od dnia 15 października</w:t>
      </w:r>
      <w:r w:rsidR="00F7183B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202</w:t>
      </w:r>
      <w:r w:rsidR="0029366C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5</w:t>
      </w:r>
      <w:r w:rsidR="00F7183B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r.</w:t>
      </w:r>
    </w:p>
    <w:p w14:paraId="607526A4" w14:textId="77777777" w:rsidR="008E7EFA" w:rsidRPr="00B3573C" w:rsidRDefault="008E7EFA" w:rsidP="008E7EFA">
      <w:pPr>
        <w:pStyle w:val="Tekstpodstawowy1"/>
        <w:shd w:val="clear" w:color="auto" w:fill="auto"/>
        <w:spacing w:after="120" w:line="300" w:lineRule="exact"/>
        <w:ind w:firstLine="0"/>
        <w:jc w:val="both"/>
        <w:rPr>
          <w:sz w:val="22"/>
          <w:szCs w:val="22"/>
        </w:rPr>
      </w:pPr>
    </w:p>
    <w:p w14:paraId="7085FA4C" w14:textId="77777777" w:rsidR="00007A1A" w:rsidRPr="00B3573C" w:rsidRDefault="00007A1A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57DF7C84" w14:textId="77777777" w:rsidR="00007A1A" w:rsidRPr="00B3573C" w:rsidRDefault="00007A1A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7ED2A982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7940AEBD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61C955F6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35BAFD0D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2263FB7A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26F32976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2B8BEDDD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1C17F094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73A6D534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6ADEF365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7065EDD5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73A7EFE0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00B8E9E4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5DF9257B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6E7ED6F4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6351322F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23E86AC5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20808E28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174B636D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1636482D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122A69E9" w14:textId="77777777" w:rsidR="00546A8B" w:rsidRDefault="00546A8B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67870BBC" w14:textId="3B7BA9B5" w:rsidR="008E7EFA" w:rsidRPr="00B3573C" w:rsidRDefault="008E7EFA" w:rsidP="008E7EFA">
      <w:pPr>
        <w:spacing w:after="120"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lastRenderedPageBreak/>
        <w:t>Uzasadnienie</w:t>
      </w:r>
    </w:p>
    <w:p w14:paraId="42DA2C8D" w14:textId="77777777" w:rsidR="008E7EFA" w:rsidRPr="00B3573C" w:rsidRDefault="008E7EFA" w:rsidP="008E7EFA">
      <w:pPr>
        <w:spacing w:after="120" w:line="300" w:lineRule="exact"/>
        <w:ind w:right="23" w:firstLine="42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5C61C0F" w14:textId="3A543967" w:rsidR="003D7799" w:rsidRPr="00B3573C" w:rsidRDefault="008E7EFA" w:rsidP="00B3573C">
      <w:pPr>
        <w:spacing w:line="360" w:lineRule="auto"/>
        <w:ind w:right="23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Zmiana decyzji nr 97 Dyrektora Biura Łączności i Informatyki Komendy Głównej Policji z dnia 27 maja 2020 r. w sprawie szczegółowej struktury organizacyjnej i schematu organizacyjnego Biura Łączności </w:t>
      </w:r>
      <w:r w:rsidRPr="00B3573C">
        <w:rPr>
          <w:rFonts w:ascii="Times New Roman" w:hAnsi="Times New Roman" w:cs="Times New Roman"/>
          <w:color w:val="auto"/>
          <w:sz w:val="22"/>
          <w:szCs w:val="22"/>
        </w:rPr>
        <w:t>i Informatyki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Komendy Głównej Policji, podziału zadań między dyrektorem a jego zastępcami oraz katalogu zadań komórek organizacyjnych,</w:t>
      </w:r>
      <w:r w:rsidRPr="00B3573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zmienionej decyzją nr 184 z dnia 26 października 2021 r., decyzją nr </w:t>
      </w:r>
      <w:r w:rsidR="00007A1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40 z dnia 23 marca 2022 r., 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decyzją nr 80 z dnia 12 maja 2023 r.</w:t>
      </w:r>
      <w:r w:rsidR="00007A1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oraz decyzją </w:t>
      </w:r>
      <w:r w:rsidR="00B3573C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nr 93 z dnia 6 czerwca 2024 r.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wynika </w:t>
      </w:r>
      <w:r w:rsidR="00546A8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ze </w:t>
      </w:r>
      <w:r w:rsidR="00E2567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zmian</w:t>
      </w:r>
      <w:r w:rsidR="00126A40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organizacyjnych w </w:t>
      </w:r>
      <w:r w:rsidR="003D7799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B</w:t>
      </w:r>
      <w:r w:rsidR="00126A40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iurze</w:t>
      </w:r>
      <w:r w:rsidR="003D7799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Łączności i Informatyki KGP</w:t>
      </w:r>
      <w:r w:rsidR="00693710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546A8B">
        <w:rPr>
          <w:rFonts w:ascii="Times New Roman" w:eastAsia="Times New Roman" w:hAnsi="Times New Roman" w:cs="Times New Roman"/>
          <w:color w:val="auto"/>
          <w:sz w:val="22"/>
          <w:szCs w:val="22"/>
        </w:rPr>
        <w:t>–</w:t>
      </w:r>
      <w:r w:rsidR="00693710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546A8B">
        <w:rPr>
          <w:rFonts w:ascii="Times New Roman" w:eastAsia="Times New Roman" w:hAnsi="Times New Roman" w:cs="Times New Roman"/>
          <w:color w:val="auto"/>
          <w:sz w:val="22"/>
          <w:szCs w:val="22"/>
        </w:rPr>
        <w:t>polegających na</w:t>
      </w:r>
      <w:r w:rsidR="00126A40" w:rsidRPr="00B3573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utworzeni</w:t>
      </w:r>
      <w:r w:rsidR="00546A8B">
        <w:rPr>
          <w:rFonts w:ascii="Times New Roman" w:eastAsia="Times New Roman" w:hAnsi="Times New Roman" w:cs="Times New Roman"/>
          <w:color w:val="auto"/>
          <w:sz w:val="22"/>
          <w:szCs w:val="22"/>
        </w:rPr>
        <w:t>u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3D7799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Sekcji Programistów w Kielcach 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w Wydziale </w:t>
      </w:r>
      <w:r w:rsidR="003B1D0B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Wsparcia Programistycznego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326AF1">
        <w:rPr>
          <w:rFonts w:ascii="Times New Roman" w:eastAsia="Times New Roman" w:hAnsi="Times New Roman" w:cs="Times New Roman"/>
          <w:color w:val="auto"/>
          <w:sz w:val="22"/>
          <w:szCs w:val="22"/>
        </w:rPr>
        <w:t>Biura Łączności i Informatyki</w:t>
      </w:r>
      <w:r w:rsidR="003D7799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KGP</w:t>
      </w:r>
      <w:r w:rsidR="00126A40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</w:t>
      </w:r>
    </w:p>
    <w:p w14:paraId="01FA404D" w14:textId="33F2C33D" w:rsidR="00DC73D3" w:rsidRPr="00B3573C" w:rsidRDefault="00255DD2" w:rsidP="00B3573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Zmiany organizacyjne mają na celu zapewnienie sprawniejszej realizacji zadań przypisanych </w:t>
      </w:r>
      <w:r w:rsidR="00693710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do właściwości merytorycznej</w:t>
      </w:r>
      <w:r w:rsidR="00326AF1" w:rsidRPr="00326AF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326AF1">
        <w:rPr>
          <w:rFonts w:ascii="Times New Roman" w:eastAsia="Times New Roman" w:hAnsi="Times New Roman" w:cs="Times New Roman"/>
          <w:color w:val="auto"/>
          <w:sz w:val="22"/>
          <w:szCs w:val="22"/>
        </w:rPr>
        <w:t>Wydziału</w:t>
      </w:r>
      <w:r w:rsidR="00326AF1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Wsparcia Programistycznego </w:t>
      </w:r>
      <w:r w:rsidR="00326AF1">
        <w:rPr>
          <w:rFonts w:ascii="Times New Roman" w:eastAsia="Times New Roman" w:hAnsi="Times New Roman" w:cs="Times New Roman"/>
          <w:color w:val="auto"/>
          <w:sz w:val="22"/>
          <w:szCs w:val="22"/>
        </w:rPr>
        <w:t>Biura Łączności i Informatyki</w:t>
      </w:r>
      <w:r w:rsidR="00326AF1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KGP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</w:t>
      </w:r>
      <w:r w:rsidR="00326AF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w tym zwiększenia dostępności budowanych i modernizowanych, siłami własnymi, systemów teleinformatycznych w trybie 24/7/265 dni w roku, na poziomie gwarantującym ciągłość działania odpowiadającym 99,97% SLA. </w:t>
      </w:r>
      <w:r w:rsidR="009715E4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W szczególności </w:t>
      </w:r>
      <w:r w:rsidR="00855796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istnieje potrzeba </w:t>
      </w:r>
      <w:r w:rsidR="00DB4CC4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wyodrębnienia </w:t>
      </w:r>
      <w:r w:rsidR="00326AF1">
        <w:rPr>
          <w:rFonts w:ascii="Times New Roman" w:eastAsia="Times New Roman" w:hAnsi="Times New Roman" w:cs="Times New Roman"/>
          <w:color w:val="auto"/>
          <w:sz w:val="22"/>
          <w:szCs w:val="22"/>
        </w:rPr>
        <w:t>w strukturze tego wydziału</w:t>
      </w:r>
      <w:r w:rsidR="006B712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nowej </w:t>
      </w:r>
      <w:r w:rsidR="00DB4CC4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komórki</w:t>
      </w:r>
      <w:r w:rsidR="006B712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organizacyjnej, tj. Sekcji Programistów w Kielcach</w:t>
      </w:r>
      <w:r w:rsidR="00DB4CC4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która </w:t>
      </w:r>
      <w:r w:rsidR="006B712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będzie odpowiedzialna m.in. za </w:t>
      </w:r>
      <w:r w:rsidR="004C5CCB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moderniz</w:t>
      </w:r>
      <w:r w:rsidR="006B712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acj</w:t>
      </w:r>
      <w:r w:rsidR="000C6093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ę</w:t>
      </w:r>
      <w:r w:rsidR="004C5CCB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i roz</w:t>
      </w:r>
      <w:r w:rsidR="006B712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wój</w:t>
      </w:r>
      <w:r w:rsidR="004C5CCB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9715E4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system</w:t>
      </w:r>
      <w:r w:rsidR="00855796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u</w:t>
      </w:r>
      <w:r w:rsidR="009715E4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pod nazwą Elektroniczny Rejestr Czynności Dochodzeniowo-Śledczych (ERCDŚ)</w:t>
      </w:r>
      <w:r w:rsidR="006B712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4C5CCB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wymaga</w:t>
      </w:r>
      <w:r w:rsidR="006B712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jąc</w:t>
      </w:r>
      <w:r w:rsidR="000C6093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ego</w:t>
      </w:r>
      <w:r w:rsidR="004C5CCB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9715E4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integracj</w:t>
      </w:r>
      <w:r w:rsidR="000C6093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i</w:t>
      </w:r>
      <w:r w:rsidR="009715E4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z systemami policyjnymi, m.in. Krajowym Systemem Informacyjnym Policji (KSIP), Systemem Zarządzania Informacją Laboratoryjną (LIMS)</w:t>
      </w:r>
      <w:r w:rsidR="00FA1760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r w:rsidR="006B712A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FA1760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jak również z</w:t>
      </w:r>
      <w:r w:rsidR="009715E4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4C5CCB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systemami </w:t>
      </w:r>
      <w:r w:rsidR="009715E4"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innych instytucji, m.in. Systemem PROK-SYS Prokuratury Krajowej. 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Dodatkowo rozbudowa profesjonalnego zespołu programistów i realizacja siłami własnymi przez Policję zadań w zakresie tworzenia, modernizacji </w:t>
      </w:r>
      <w:r w:rsidR="00326AF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</w:t>
      </w:r>
      <w:r w:rsidRPr="00B3573C">
        <w:rPr>
          <w:rFonts w:ascii="Times New Roman" w:eastAsia="Times New Roman" w:hAnsi="Times New Roman" w:cs="Times New Roman"/>
          <w:color w:val="auto"/>
          <w:sz w:val="22"/>
          <w:szCs w:val="22"/>
        </w:rPr>
        <w:t>i utrzymywania oprogramowania wpłynie na wymierne korzyści finansowe dla budżetu Policji.</w:t>
      </w:r>
      <w:bookmarkStart w:id="0" w:name="_GoBack"/>
      <w:bookmarkEnd w:id="0"/>
    </w:p>
    <w:sectPr w:rsidR="00DC73D3" w:rsidRPr="00B3573C" w:rsidSect="00007A1A">
      <w:headerReference w:type="default" r:id="rId8"/>
      <w:endnotePr>
        <w:numFmt w:val="decimal"/>
      </w:endnotePr>
      <w:pgSz w:w="11909" w:h="16838"/>
      <w:pgMar w:top="567" w:right="851" w:bottom="709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C583E" w14:textId="77777777" w:rsidR="001E5149" w:rsidRDefault="001E5149" w:rsidP="008E7EFA">
      <w:r>
        <w:separator/>
      </w:r>
    </w:p>
  </w:endnote>
  <w:endnote w:type="continuationSeparator" w:id="0">
    <w:p w14:paraId="0171E743" w14:textId="77777777" w:rsidR="001E5149" w:rsidRDefault="001E5149" w:rsidP="008E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114C0" w14:textId="77777777" w:rsidR="001E5149" w:rsidRDefault="001E5149" w:rsidP="008E7EFA">
      <w:r>
        <w:separator/>
      </w:r>
    </w:p>
  </w:footnote>
  <w:footnote w:type="continuationSeparator" w:id="0">
    <w:p w14:paraId="30C49AAC" w14:textId="77777777" w:rsidR="001E5149" w:rsidRDefault="001E5149" w:rsidP="008E7EFA">
      <w:r>
        <w:continuationSeparator/>
      </w:r>
    </w:p>
  </w:footnote>
  <w:footnote w:id="1">
    <w:p w14:paraId="71B6FF04" w14:textId="77777777" w:rsidR="008E7EFA" w:rsidRPr="00C57DAC" w:rsidRDefault="008E7EFA" w:rsidP="00FF5E1B">
      <w:pPr>
        <w:pStyle w:val="Tekstprzypisudolneg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C57DA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57DAC">
        <w:rPr>
          <w:rFonts w:ascii="Times New Roman" w:hAnsi="Times New Roman" w:cs="Times New Roman"/>
          <w:sz w:val="16"/>
          <w:szCs w:val="16"/>
          <w:vertAlign w:val="superscript"/>
        </w:rPr>
        <w:t xml:space="preserve">) </w:t>
      </w:r>
      <w:r w:rsidRPr="00C57DAC">
        <w:rPr>
          <w:rFonts w:ascii="Times New Roman" w:hAnsi="Times New Roman" w:cs="Times New Roman"/>
          <w:sz w:val="16"/>
          <w:szCs w:val="16"/>
        </w:rPr>
        <w:t>Zmiany wymienionego zarządzenia zostały ogłoszone w Dz. Urz. KGP z 2016 r. poz. 69, z 2017 r. poz. 44, z 2018 r. poz. 2, 106, i</w:t>
      </w:r>
      <w:r>
        <w:rPr>
          <w:rFonts w:ascii="Times New Roman" w:hAnsi="Times New Roman" w:cs="Times New Roman"/>
          <w:sz w:val="16"/>
          <w:szCs w:val="16"/>
        </w:rPr>
        <w:t xml:space="preserve"> 126, z 2019 r. poz. </w:t>
      </w:r>
      <w:r w:rsidRPr="00C57DAC">
        <w:rPr>
          <w:rFonts w:ascii="Times New Roman" w:hAnsi="Times New Roman" w:cs="Times New Roman"/>
          <w:sz w:val="16"/>
          <w:szCs w:val="16"/>
        </w:rPr>
        <w:t xml:space="preserve">105 i 126, z 2020 r. poz. 16, z 2021 r. poz. 15, 57 i </w:t>
      </w:r>
      <w:r w:rsidRPr="00C57DAC">
        <w:rPr>
          <w:rFonts w:ascii="Times New Roman" w:hAnsi="Times New Roman" w:cs="Times New Roman"/>
          <w:color w:val="auto"/>
          <w:sz w:val="16"/>
          <w:szCs w:val="16"/>
        </w:rPr>
        <w:t xml:space="preserve">101, z 2022 r. </w:t>
      </w:r>
      <w:r w:rsidR="00172BE6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poz. 88, 199 i </w:t>
      </w:r>
      <w:r w:rsidR="00172BE6" w:rsidRPr="00606D21">
        <w:rPr>
          <w:rFonts w:ascii="Times New Roman" w:eastAsia="Times New Roman" w:hAnsi="Times New Roman" w:cs="Times New Roman"/>
          <w:color w:val="auto"/>
          <w:sz w:val="16"/>
          <w:szCs w:val="16"/>
        </w:rPr>
        <w:t>218,</w:t>
      </w:r>
      <w:r w:rsidRPr="00606D2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C57DAC">
        <w:rPr>
          <w:rFonts w:ascii="Times New Roman" w:eastAsia="Times New Roman" w:hAnsi="Times New Roman" w:cs="Times New Roman"/>
          <w:color w:val="auto"/>
          <w:sz w:val="16"/>
          <w:szCs w:val="16"/>
        </w:rPr>
        <w:t>z 2023 r. poz. 7</w:t>
      </w:r>
      <w:r w:rsidR="00172BE6" w:rsidRPr="00606D21">
        <w:rPr>
          <w:rFonts w:ascii="Times New Roman" w:eastAsia="Times New Roman" w:hAnsi="Times New Roman" w:cs="Times New Roman"/>
          <w:color w:val="auto"/>
          <w:sz w:val="16"/>
          <w:szCs w:val="16"/>
        </w:rPr>
        <w:t>,</w:t>
      </w:r>
      <w:r w:rsidR="00B12391" w:rsidRPr="00606D2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172BE6" w:rsidRPr="00606D21">
        <w:rPr>
          <w:rFonts w:ascii="Times New Roman" w:eastAsia="Times New Roman" w:hAnsi="Times New Roman" w:cs="Times New Roman"/>
          <w:color w:val="auto"/>
          <w:sz w:val="16"/>
          <w:szCs w:val="16"/>
        </w:rPr>
        <w:t>40 i 79 oraz</w:t>
      </w:r>
      <w:r w:rsidRPr="00606D2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z 2024 r. poz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. 11</w:t>
      </w:r>
      <w:r w:rsidRPr="00C57DAC">
        <w:rPr>
          <w:rFonts w:ascii="Times New Roman" w:eastAsia="Times New Roman" w:hAnsi="Times New Roman" w:cs="Times New Roman"/>
          <w:color w:val="au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4A387" w14:textId="77777777" w:rsidR="00EC4A44" w:rsidRDefault="00EC4A44">
    <w:pPr>
      <w:pStyle w:val="Nagwek"/>
    </w:pPr>
  </w:p>
  <w:p w14:paraId="39725E17" w14:textId="77777777" w:rsidR="00EC4A44" w:rsidRDefault="00B45670" w:rsidP="00FF11A1">
    <w:pPr>
      <w:pStyle w:val="Nagwek"/>
      <w:ind w:left="4536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</w:p>
  <w:p w14:paraId="73906F7F" w14:textId="77777777" w:rsidR="00EC4A44" w:rsidRPr="00DF4C4C" w:rsidRDefault="00EC4A44" w:rsidP="00301653">
    <w:pPr>
      <w:pStyle w:val="Nagwek"/>
      <w:rPr>
        <w:rFonts w:ascii="Times New Roman"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F16"/>
    <w:multiLevelType w:val="hybridMultilevel"/>
    <w:tmpl w:val="A8DC831C"/>
    <w:lvl w:ilvl="0" w:tplc="4424A8C4">
      <w:start w:val="3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7D34"/>
    <w:multiLevelType w:val="hybridMultilevel"/>
    <w:tmpl w:val="61C65022"/>
    <w:lvl w:ilvl="0" w:tplc="7E0873D0">
      <w:start w:val="1"/>
      <w:numFmt w:val="decimal"/>
      <w:lvlText w:val="%1)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141" w:hanging="360"/>
      </w:pPr>
    </w:lvl>
    <w:lvl w:ilvl="2" w:tplc="FFFFFFFF">
      <w:start w:val="1"/>
      <w:numFmt w:val="lowerRoman"/>
      <w:lvlText w:val="%3."/>
      <w:lvlJc w:val="right"/>
      <w:pPr>
        <w:ind w:left="3861" w:hanging="180"/>
      </w:pPr>
    </w:lvl>
    <w:lvl w:ilvl="3" w:tplc="FFFFFFFF">
      <w:start w:val="1"/>
      <w:numFmt w:val="decimal"/>
      <w:lvlText w:val="%4."/>
      <w:lvlJc w:val="left"/>
      <w:pPr>
        <w:ind w:left="4581" w:hanging="360"/>
      </w:pPr>
    </w:lvl>
    <w:lvl w:ilvl="4" w:tplc="FFFFFFFF">
      <w:start w:val="1"/>
      <w:numFmt w:val="lowerLetter"/>
      <w:lvlText w:val="%5."/>
      <w:lvlJc w:val="left"/>
      <w:pPr>
        <w:ind w:left="5301" w:hanging="360"/>
      </w:pPr>
    </w:lvl>
    <w:lvl w:ilvl="5" w:tplc="FFFFFFFF">
      <w:start w:val="1"/>
      <w:numFmt w:val="lowerRoman"/>
      <w:lvlText w:val="%6."/>
      <w:lvlJc w:val="right"/>
      <w:pPr>
        <w:ind w:left="6021" w:hanging="180"/>
      </w:pPr>
    </w:lvl>
    <w:lvl w:ilvl="6" w:tplc="FFFFFFFF">
      <w:start w:val="1"/>
      <w:numFmt w:val="decimal"/>
      <w:lvlText w:val="%7."/>
      <w:lvlJc w:val="left"/>
      <w:pPr>
        <w:ind w:left="6741" w:hanging="360"/>
      </w:pPr>
    </w:lvl>
    <w:lvl w:ilvl="7" w:tplc="FFFFFFFF">
      <w:start w:val="1"/>
      <w:numFmt w:val="lowerLetter"/>
      <w:lvlText w:val="%8."/>
      <w:lvlJc w:val="left"/>
      <w:pPr>
        <w:ind w:left="7461" w:hanging="360"/>
      </w:pPr>
    </w:lvl>
    <w:lvl w:ilvl="8" w:tplc="FFFFFFFF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1E15315F"/>
    <w:multiLevelType w:val="hybridMultilevel"/>
    <w:tmpl w:val="FB1E3DC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3A94"/>
    <w:multiLevelType w:val="hybridMultilevel"/>
    <w:tmpl w:val="09BE19B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4AEC003F"/>
    <w:multiLevelType w:val="hybridMultilevel"/>
    <w:tmpl w:val="231074C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1AC5E88"/>
    <w:multiLevelType w:val="hybridMultilevel"/>
    <w:tmpl w:val="D9E0E8D0"/>
    <w:lvl w:ilvl="0" w:tplc="FF68F3E8">
      <w:start w:val="1"/>
      <w:numFmt w:val="decimal"/>
      <w:lvlText w:val="%1)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>
      <w:start w:val="1"/>
      <w:numFmt w:val="lowerRoman"/>
      <w:lvlText w:val="%3."/>
      <w:lvlJc w:val="right"/>
      <w:pPr>
        <w:ind w:left="3861" w:hanging="180"/>
      </w:pPr>
    </w:lvl>
    <w:lvl w:ilvl="3" w:tplc="0415000F">
      <w:start w:val="1"/>
      <w:numFmt w:val="decimal"/>
      <w:lvlText w:val="%4."/>
      <w:lvlJc w:val="left"/>
      <w:pPr>
        <w:ind w:left="4581" w:hanging="360"/>
      </w:pPr>
    </w:lvl>
    <w:lvl w:ilvl="4" w:tplc="04150019">
      <w:start w:val="1"/>
      <w:numFmt w:val="lowerLetter"/>
      <w:lvlText w:val="%5."/>
      <w:lvlJc w:val="left"/>
      <w:pPr>
        <w:ind w:left="5301" w:hanging="360"/>
      </w:pPr>
    </w:lvl>
    <w:lvl w:ilvl="5" w:tplc="0415001B">
      <w:start w:val="1"/>
      <w:numFmt w:val="lowerRoman"/>
      <w:lvlText w:val="%6."/>
      <w:lvlJc w:val="right"/>
      <w:pPr>
        <w:ind w:left="6021" w:hanging="180"/>
      </w:pPr>
    </w:lvl>
    <w:lvl w:ilvl="6" w:tplc="0415000F">
      <w:start w:val="1"/>
      <w:numFmt w:val="decimal"/>
      <w:lvlText w:val="%7."/>
      <w:lvlJc w:val="left"/>
      <w:pPr>
        <w:ind w:left="6741" w:hanging="360"/>
      </w:pPr>
    </w:lvl>
    <w:lvl w:ilvl="7" w:tplc="04150019">
      <w:start w:val="1"/>
      <w:numFmt w:val="lowerLetter"/>
      <w:lvlText w:val="%8."/>
      <w:lvlJc w:val="left"/>
      <w:pPr>
        <w:ind w:left="7461" w:hanging="360"/>
      </w:pPr>
    </w:lvl>
    <w:lvl w:ilvl="8" w:tplc="0415001B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64BA1072"/>
    <w:multiLevelType w:val="hybridMultilevel"/>
    <w:tmpl w:val="4CBC4D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FA"/>
    <w:rsid w:val="00007A1A"/>
    <w:rsid w:val="00015971"/>
    <w:rsid w:val="00032ACE"/>
    <w:rsid w:val="00037276"/>
    <w:rsid w:val="000C6093"/>
    <w:rsid w:val="0010303E"/>
    <w:rsid w:val="00126A40"/>
    <w:rsid w:val="00172BE6"/>
    <w:rsid w:val="001A7C65"/>
    <w:rsid w:val="001D17B9"/>
    <w:rsid w:val="001D4462"/>
    <w:rsid w:val="001E147D"/>
    <w:rsid w:val="001E5149"/>
    <w:rsid w:val="00237BFF"/>
    <w:rsid w:val="0024110F"/>
    <w:rsid w:val="00255DD2"/>
    <w:rsid w:val="0029366C"/>
    <w:rsid w:val="002B2ACC"/>
    <w:rsid w:val="00326AF1"/>
    <w:rsid w:val="00336FD8"/>
    <w:rsid w:val="003674D8"/>
    <w:rsid w:val="00377980"/>
    <w:rsid w:val="003B1D0B"/>
    <w:rsid w:val="003D7799"/>
    <w:rsid w:val="003F136C"/>
    <w:rsid w:val="00413812"/>
    <w:rsid w:val="00474584"/>
    <w:rsid w:val="00491826"/>
    <w:rsid w:val="004C5CCB"/>
    <w:rsid w:val="005362E5"/>
    <w:rsid w:val="00546A8B"/>
    <w:rsid w:val="005500BB"/>
    <w:rsid w:val="00575BDF"/>
    <w:rsid w:val="00606D21"/>
    <w:rsid w:val="00641007"/>
    <w:rsid w:val="0065398F"/>
    <w:rsid w:val="00693710"/>
    <w:rsid w:val="006B712A"/>
    <w:rsid w:val="00725776"/>
    <w:rsid w:val="007533A5"/>
    <w:rsid w:val="007E06C4"/>
    <w:rsid w:val="008047CF"/>
    <w:rsid w:val="00855796"/>
    <w:rsid w:val="00885630"/>
    <w:rsid w:val="00887487"/>
    <w:rsid w:val="008A1519"/>
    <w:rsid w:val="008C246F"/>
    <w:rsid w:val="008C5273"/>
    <w:rsid w:val="008E7EFA"/>
    <w:rsid w:val="008F6903"/>
    <w:rsid w:val="009715E4"/>
    <w:rsid w:val="00980020"/>
    <w:rsid w:val="009C209E"/>
    <w:rsid w:val="00A31164"/>
    <w:rsid w:val="00A70127"/>
    <w:rsid w:val="00AB05E8"/>
    <w:rsid w:val="00AF051F"/>
    <w:rsid w:val="00B12391"/>
    <w:rsid w:val="00B3573C"/>
    <w:rsid w:val="00B45670"/>
    <w:rsid w:val="00BE187C"/>
    <w:rsid w:val="00C2790D"/>
    <w:rsid w:val="00CD1369"/>
    <w:rsid w:val="00CD1778"/>
    <w:rsid w:val="00D56F2D"/>
    <w:rsid w:val="00DB2850"/>
    <w:rsid w:val="00DB4CC4"/>
    <w:rsid w:val="00DC73D3"/>
    <w:rsid w:val="00DD4A91"/>
    <w:rsid w:val="00DF25A7"/>
    <w:rsid w:val="00E2567B"/>
    <w:rsid w:val="00E6238E"/>
    <w:rsid w:val="00EC4A44"/>
    <w:rsid w:val="00EF1578"/>
    <w:rsid w:val="00F7183B"/>
    <w:rsid w:val="00F76188"/>
    <w:rsid w:val="00FA1760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582D"/>
  <w15:chartTrackingRefBased/>
  <w15:docId w15:val="{D0112AD5-3BCE-4509-870A-363996AC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E7E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8E7EF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rsid w:val="008E7E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E7EFA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Tekstpodstawowy1">
    <w:name w:val="Tekst podstawowy1"/>
    <w:basedOn w:val="Normalny"/>
    <w:link w:val="Bodytext"/>
    <w:rsid w:val="008E7EFA"/>
    <w:pPr>
      <w:shd w:val="clear" w:color="auto" w:fill="FFFFFF"/>
      <w:spacing w:line="371" w:lineRule="exact"/>
      <w:ind w:hanging="380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8E7E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E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7EF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7E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7EFA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7E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57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57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573C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7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73C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7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73C"/>
    <w:rPr>
      <w:rFonts w:ascii="Segoe UI" w:eastAsia="Courier New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bxgq3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Dębowska</dc:creator>
  <cp:keywords/>
  <dc:description/>
  <cp:lastModifiedBy>Adriana Mizerska</cp:lastModifiedBy>
  <cp:revision>4</cp:revision>
  <cp:lastPrinted>2025-10-08T11:27:00Z</cp:lastPrinted>
  <dcterms:created xsi:type="dcterms:W3CDTF">2025-10-22T09:47:00Z</dcterms:created>
  <dcterms:modified xsi:type="dcterms:W3CDTF">2025-10-30T12:31:00Z</dcterms:modified>
</cp:coreProperties>
</file>