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4E13" w14:textId="77777777" w:rsidR="008E7EFA" w:rsidRDefault="008E7EFA" w:rsidP="008E7EFA">
      <w:pPr>
        <w:pStyle w:val="Bodytext20"/>
        <w:shd w:val="clear" w:color="auto" w:fill="auto"/>
        <w:spacing w:line="300" w:lineRule="exact"/>
        <w:jc w:val="center"/>
        <w:rPr>
          <w:sz w:val="22"/>
          <w:szCs w:val="22"/>
        </w:rPr>
      </w:pPr>
    </w:p>
    <w:p w14:paraId="2C772E95" w14:textId="77777777" w:rsidR="008E7EFA" w:rsidRPr="00606D21" w:rsidRDefault="008E7EFA" w:rsidP="008E7EFA">
      <w:pPr>
        <w:pStyle w:val="Bodytext20"/>
        <w:shd w:val="clear" w:color="auto" w:fill="auto"/>
        <w:spacing w:line="300" w:lineRule="exact"/>
        <w:jc w:val="center"/>
        <w:rPr>
          <w:sz w:val="22"/>
          <w:szCs w:val="22"/>
        </w:rPr>
      </w:pPr>
      <w:r w:rsidRPr="00606D21">
        <w:rPr>
          <w:sz w:val="22"/>
          <w:szCs w:val="22"/>
        </w:rPr>
        <w:t>DECYZJA NR ………</w:t>
      </w:r>
    </w:p>
    <w:p w14:paraId="7342D162" w14:textId="77777777" w:rsidR="008E7EFA" w:rsidRPr="00606D21" w:rsidRDefault="008E7EFA" w:rsidP="008E7EFA">
      <w:pPr>
        <w:pStyle w:val="Bodytext20"/>
        <w:shd w:val="clear" w:color="auto" w:fill="auto"/>
        <w:spacing w:line="300" w:lineRule="exact"/>
        <w:jc w:val="center"/>
        <w:rPr>
          <w:sz w:val="22"/>
          <w:szCs w:val="22"/>
        </w:rPr>
      </w:pPr>
      <w:r w:rsidRPr="00606D21">
        <w:rPr>
          <w:sz w:val="22"/>
          <w:szCs w:val="22"/>
        </w:rPr>
        <w:t>DYREKTORA BIURA ŁĄCZNOŚCI I INFORMATYKI</w:t>
      </w:r>
    </w:p>
    <w:p w14:paraId="656792D6" w14:textId="77777777" w:rsidR="008E7EFA" w:rsidRPr="00606D21" w:rsidRDefault="008E7EFA" w:rsidP="008E7EFA">
      <w:pPr>
        <w:pStyle w:val="Bodytext20"/>
        <w:shd w:val="clear" w:color="auto" w:fill="auto"/>
        <w:spacing w:after="120" w:line="300" w:lineRule="exact"/>
        <w:jc w:val="center"/>
        <w:rPr>
          <w:sz w:val="22"/>
          <w:szCs w:val="22"/>
        </w:rPr>
      </w:pPr>
      <w:r w:rsidRPr="00606D21">
        <w:rPr>
          <w:sz w:val="22"/>
          <w:szCs w:val="22"/>
        </w:rPr>
        <w:t>KOMENDY GŁÓWNEJ POLICJI</w:t>
      </w:r>
    </w:p>
    <w:p w14:paraId="51790DDB" w14:textId="77777777" w:rsidR="008E7EFA" w:rsidRPr="00606D21" w:rsidRDefault="008E7EFA" w:rsidP="008E7EFA">
      <w:pPr>
        <w:pStyle w:val="Tekstpodstawowy1"/>
        <w:shd w:val="clear" w:color="auto" w:fill="auto"/>
        <w:spacing w:after="120" w:line="300" w:lineRule="exact"/>
        <w:ind w:firstLine="0"/>
        <w:rPr>
          <w:sz w:val="22"/>
          <w:szCs w:val="22"/>
        </w:rPr>
      </w:pPr>
      <w:r w:rsidRPr="00606D21">
        <w:rPr>
          <w:sz w:val="22"/>
          <w:szCs w:val="22"/>
        </w:rPr>
        <w:t>z dnia ………………………… 2024 r.</w:t>
      </w:r>
    </w:p>
    <w:p w14:paraId="2C157CE7" w14:textId="77777777" w:rsidR="008E7EFA" w:rsidRPr="00606D21" w:rsidRDefault="008E7EFA" w:rsidP="008E7EFA">
      <w:pPr>
        <w:pStyle w:val="Bodytext20"/>
        <w:shd w:val="clear" w:color="auto" w:fill="auto"/>
        <w:spacing w:line="300" w:lineRule="exact"/>
        <w:ind w:left="221"/>
        <w:jc w:val="center"/>
        <w:rPr>
          <w:sz w:val="22"/>
          <w:szCs w:val="22"/>
        </w:rPr>
      </w:pPr>
      <w:r w:rsidRPr="00606D21">
        <w:rPr>
          <w:sz w:val="22"/>
          <w:szCs w:val="22"/>
        </w:rPr>
        <w:t>zmieniająca decyzję w sprawie szczegółowej struktury organizacyjnej i schematu organizacyjnego Biura Łączności i Informatyki Komendy Głównej Policji, podziału zadań między dyrektorem a jego zastępcami oraz katalogu zadań komórek organizacyjnych</w:t>
      </w:r>
    </w:p>
    <w:p w14:paraId="4F656470" w14:textId="77777777" w:rsidR="008E7EFA" w:rsidRPr="00606D21" w:rsidRDefault="008E7EFA" w:rsidP="008E7EFA">
      <w:pPr>
        <w:pStyle w:val="Bodytext20"/>
        <w:shd w:val="clear" w:color="auto" w:fill="auto"/>
        <w:spacing w:line="300" w:lineRule="exact"/>
        <w:ind w:left="221"/>
        <w:jc w:val="center"/>
        <w:rPr>
          <w:sz w:val="22"/>
          <w:szCs w:val="22"/>
        </w:rPr>
      </w:pPr>
    </w:p>
    <w:p w14:paraId="7FCAF134" w14:textId="77777777" w:rsidR="008E7EFA" w:rsidRPr="00606D21" w:rsidRDefault="008E7EFA" w:rsidP="008E7EFA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sz w:val="22"/>
          <w:szCs w:val="22"/>
        </w:rPr>
      </w:pPr>
      <w:r w:rsidRPr="00606D21">
        <w:rPr>
          <w:sz w:val="22"/>
          <w:szCs w:val="22"/>
        </w:rPr>
        <w:t>Na podstawie § 12 ust. 1 zarządzenia nr 2 Komendanta Głównego Policji z dnia 1 kwietnia 2016 r. w sprawie regulaminu Komendy Głównej Policji (</w:t>
      </w:r>
      <w:hyperlink r:id="rId7" w:history="1">
        <w:r w:rsidRPr="00606D21">
          <w:rPr>
            <w:sz w:val="22"/>
            <w:szCs w:val="22"/>
          </w:rPr>
          <w:t>Dz. Urz. KGP poz. 13</w:t>
        </w:r>
      </w:hyperlink>
      <w:r w:rsidRPr="00606D21">
        <w:rPr>
          <w:sz w:val="22"/>
          <w:szCs w:val="22"/>
        </w:rPr>
        <w:t>, z późn. zm.</w:t>
      </w:r>
      <w:r w:rsidRPr="00606D21">
        <w:rPr>
          <w:rStyle w:val="Odwoanieprzypisudolnego"/>
          <w:sz w:val="22"/>
          <w:szCs w:val="22"/>
        </w:rPr>
        <w:footnoteReference w:id="1"/>
      </w:r>
      <w:r w:rsidRPr="00606D21">
        <w:rPr>
          <w:sz w:val="22"/>
          <w:szCs w:val="22"/>
          <w:vertAlign w:val="superscript"/>
        </w:rPr>
        <w:t>)</w:t>
      </w:r>
      <w:r w:rsidRPr="00606D21">
        <w:rPr>
          <w:sz w:val="22"/>
          <w:szCs w:val="22"/>
        </w:rPr>
        <w:t>) postanawia się, co następuje:</w:t>
      </w:r>
    </w:p>
    <w:p w14:paraId="279453E6" w14:textId="77777777" w:rsidR="008E7EFA" w:rsidRPr="00606D21" w:rsidRDefault="008E7EFA" w:rsidP="008E7EFA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sz w:val="22"/>
          <w:szCs w:val="22"/>
        </w:rPr>
      </w:pPr>
      <w:r w:rsidRPr="00606D21">
        <w:rPr>
          <w:b/>
          <w:sz w:val="22"/>
          <w:szCs w:val="22"/>
        </w:rPr>
        <w:t>§ 1.</w:t>
      </w:r>
      <w:r w:rsidRPr="00606D21">
        <w:rPr>
          <w:sz w:val="22"/>
          <w:szCs w:val="22"/>
        </w:rPr>
        <w:t xml:space="preserve"> W decyzji nr 97 Dyrektora Biura Łączności i Informatyki Komendy Głównej Policji z dnia 27 maja 2020 r. w sprawie szczegółowej struktury organizacyjnej i schematu organizacyjnego Biura Łączności i Informatyki Komendy Głównej Policji, podziału zadań między dyrektorem a jego zastępcami oraz katalogu zadań komórek organizacyjnych, zmienionej decyzją nr 184 z dnia 26 października 2021 r., decyzją nr 40 z dnia 23 marca 2022 r. oraz decyzją nr 80 z dnia 12 maja 2023 r. wprowadza się następujące zmiany:</w:t>
      </w:r>
    </w:p>
    <w:p w14:paraId="006369B6" w14:textId="77777777" w:rsidR="008E7EFA" w:rsidRPr="00606D21" w:rsidRDefault="008E7EFA" w:rsidP="008E7EFA">
      <w:pPr>
        <w:spacing w:after="120" w:line="300" w:lineRule="exact"/>
        <w:ind w:left="426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1)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 § 1 w ust. 1 pkt 4 otrzymuje brzmienie:</w:t>
      </w:r>
    </w:p>
    <w:p w14:paraId="00DB25B7" w14:textId="77777777" w:rsidR="008E7EFA" w:rsidRPr="00606D21" w:rsidRDefault="008E7EFA" w:rsidP="008E7EFA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„4) Wydział Cyberbezpieczeństwa, w skład którego wchodzi Sekcja do spraw Utrzymania Centralnych Systemów Internetowych i Obsługi Incydentów Cyberbezpieczeństwa w Poznaniu;”;</w:t>
      </w:r>
    </w:p>
    <w:p w14:paraId="7242929A" w14:textId="77777777" w:rsidR="008E7EFA" w:rsidRPr="00606D21" w:rsidRDefault="00B12391" w:rsidP="00B12391">
      <w:pPr>
        <w:tabs>
          <w:tab w:val="left" w:pos="426"/>
        </w:tabs>
        <w:spacing w:before="120"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2)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8E7EFA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§ 8 otrzymuje brzmienie:</w:t>
      </w:r>
    </w:p>
    <w:p w14:paraId="7EFF2433" w14:textId="77777777" w:rsidR="008E7EFA" w:rsidRPr="00606D21" w:rsidRDefault="008E7EFA" w:rsidP="008E7EFA">
      <w:pPr>
        <w:spacing w:before="120" w:line="300" w:lineRule="exact"/>
        <w:ind w:left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„§ 8. 1. Do zadań Wydziału Cyberbezpieczeństwa należy w szczególności:</w:t>
      </w:r>
    </w:p>
    <w:p w14:paraId="1D1CC0AD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before="120"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rozpoznawanie w sieci Internet oraz sieciach i systemach Policji zagrożeń cyberbezpieczeństwa mających </w:t>
      </w:r>
      <w:r w:rsidR="00B1239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wpływ na </w:t>
      </w:r>
      <w:proofErr w:type="spellStart"/>
      <w:r w:rsidR="00B1239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cyberbezpieczeństwo</w:t>
      </w:r>
      <w:proofErr w:type="spellEnd"/>
      <w:r w:rsidR="00B1239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Policji;</w:t>
      </w:r>
    </w:p>
    <w:p w14:paraId="731861F8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before="120"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i wspieranie działań komórek organizacyjnych KGP oraz jednostek organizacyjnych Policji w obszarze osiągania zdolności do zapewnienia bezpieczeństwa cyberprzestrzeni Policji;</w:t>
      </w:r>
    </w:p>
    <w:p w14:paraId="09735EF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zaawansowana obsługa incydentów cyberbezpieczeństwa w jawnych systemach i sieciach teleinformatycznych Policji;</w:t>
      </w:r>
    </w:p>
    <w:p w14:paraId="2A0F8EA3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obsługi zgłoszonych incydentów cyberbezpieczeństwa;</w:t>
      </w:r>
    </w:p>
    <w:p w14:paraId="31DFD9AF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realizowanie zadań związanych z wymianą informacji </w:t>
      </w:r>
      <w:r w:rsidR="00172BE6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 ramach Punktu Kontaktowego do spraw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ataków na systemy teleinformatyczne;</w:t>
      </w:r>
    </w:p>
    <w:p w14:paraId="73AED993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Centralnymi Systemami Internetowymi i usługami informatycznymi świadczonymi w ramach Centr</w:t>
      </w:r>
      <w:r w:rsidR="00B1239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alnego Węzła Internetowego KGP;</w:t>
      </w:r>
    </w:p>
    <w:p w14:paraId="15DDD5CA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zadań związanych z eksploatacj</w:t>
      </w:r>
      <w:r w:rsidR="00037276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ą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Centralnych Systemów Internetowych Policji;</w:t>
      </w:r>
    </w:p>
    <w:p w14:paraId="7A5F63BF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zespołami serwisowymi podmiotów zewnętrznych;</w:t>
      </w:r>
    </w:p>
    <w:p w14:paraId="38828D86" w14:textId="77777777" w:rsidR="003674D8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pracach zespołów i grup eksperckich w zakresie właściwości wydziału;</w:t>
      </w:r>
    </w:p>
    <w:p w14:paraId="037C2054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i przekazywanie rekomendacji w zakresie działań podnoszących poziom cyberbezpieczeństwa w Policji;</w:t>
      </w:r>
    </w:p>
    <w:p w14:paraId="4BF0F767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prowadzenie działań </w:t>
      </w:r>
      <w:r w:rsidR="00172BE6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zakresie analizy i przygotowywania zaleceń mających na celu zapobieganie występowania incydentów cyberbezpieczeństwa;</w:t>
      </w:r>
    </w:p>
    <w:p w14:paraId="76500FCB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komórkami organizacyjnymi KGP oraz jednostkami organizacyjnymi Policji w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zakresie kreowania spójnego, jednolitego i  efektywnego systemu zarządzania bezpieczeństwem cyberprzestrzeni Policji;</w:t>
      </w:r>
    </w:p>
    <w:p w14:paraId="787AD5BB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wnioskowanie do właściwej komórki organizacyjnej KGP lub jednostki organizacyjnej Policji w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sprawie czasowego wyłączania lub zaniechania przetwarzania informacji w systemie lub sieci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teleinformatycznej Policji w związku z  wystąpieniem incydentu cyberbezpieczeństwa;</w:t>
      </w:r>
    </w:p>
    <w:p w14:paraId="1B6651D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projektowanie, testowanie, wdrażanie oraz opiniowanie nowych rozwiązań technicznych dla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utrzymania odpowiedniego  poziomu bezpieczeństwa komunikacji elektronicznej Policji;</w:t>
      </w:r>
    </w:p>
    <w:p w14:paraId="3F5F2031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krajowym węzłem dostępu do sieci 1-24/7 INTERPOL;</w:t>
      </w:r>
    </w:p>
    <w:p w14:paraId="3F62C547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wspieranie Zespołu POL-CERT w realizowaniu zadań;</w:t>
      </w:r>
    </w:p>
    <w:p w14:paraId="4B370797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i wdrażanie Policyjnych Standardów Cyberbezpieczeństwa w CSI oraz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promowanie dobrych praktyk i zaleceń;</w:t>
      </w:r>
    </w:p>
    <w:p w14:paraId="192AFAAF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testów penetracyjnych i audytów cyberbezpieczeństwa sieci i systemów teleinformatycznych Policji;</w:t>
      </w:r>
    </w:p>
    <w:p w14:paraId="20DFC259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współpraca 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krajowa i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międzynarodowa w zakres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ie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cyberbezpieczeństwa na poziomie technicznym z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podmiotami sektora rządowego państw Unii Europejskiej, Stanów Zjednoczonych Ameryki Północnej oraz Organizacją Traktatu Północnoatlantyckiego;</w:t>
      </w:r>
    </w:p>
    <w:p w14:paraId="432FA1B4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współpraca z podmiotami </w:t>
      </w:r>
      <w:proofErr w:type="spellStart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pozapolicyjnymi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zakresie upowszechniania wiedzy nt.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cyberbezpieczeństwa;</w:t>
      </w:r>
    </w:p>
    <w:p w14:paraId="155B5A46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i wymiana informacji w zakresie zwalczania cyberprzestępczości z właściwymi komórkami organizacyjnymi KGP oraz jednostkami organizacyjnymi Policji;</w:t>
      </w:r>
    </w:p>
    <w:p w14:paraId="6CA2E7C6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aktywne poszukiwanie zagrożeń </w:t>
      </w:r>
      <w:proofErr w:type="spellStart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CyberThreat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Intelligence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ThreatHunting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);</w:t>
      </w:r>
    </w:p>
    <w:p w14:paraId="40A2878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analizowanie złośliwego oprogramowania;</w:t>
      </w:r>
    </w:p>
    <w:p w14:paraId="3636E000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badanie bezpieczeństwa, podatności i testowanie sprzętu lub oprogramowania;</w:t>
      </w:r>
    </w:p>
    <w:p w14:paraId="723C272E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ocena bezpieczeństwa systemów informacyjnych, w tym przeprowadzanie testów penetracyjnych i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audytów bezpieczeństwa;</w:t>
      </w:r>
    </w:p>
    <w:p w14:paraId="08B7FEF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specjalistycznych analiz cyberbezpieczeństwa i wykrywanie nowych podatności;</w:t>
      </w:r>
    </w:p>
    <w:p w14:paraId="15BDB2F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rozwijanie specjalistycznych narzędzi technicznych wspomagających realizację zadań z  zakresu cyberbezpieczeństwa;</w:t>
      </w:r>
    </w:p>
    <w:p w14:paraId="2988322F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działań prewencyjnych zwiększających cyberbezpieczeństwo;</w:t>
      </w:r>
    </w:p>
    <w:p w14:paraId="68F9F73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przyjmowanie zgłoszeń i obsługa incydentów poważnych;</w:t>
      </w:r>
    </w:p>
    <w:p w14:paraId="588EA18C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wstępna obsługa incydentów cyberbezpieczeństwa;</w:t>
      </w:r>
    </w:p>
    <w:p w14:paraId="72D84F26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reagowanie na incydenty cyberbezpieczeństwa oraz ich klasyfikacja;</w:t>
      </w:r>
    </w:p>
    <w:p w14:paraId="6F615618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zaawansowanych działań z zakresu aktywnej obrony systemów informacyjnych;</w:t>
      </w:r>
    </w:p>
    <w:p w14:paraId="0430C923" w14:textId="77777777" w:rsidR="003674D8" w:rsidRPr="00606D21" w:rsidRDefault="003674D8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korelacja danych oraz prowadzenie analiz cyberbezpieczeństwa;</w:t>
      </w:r>
    </w:p>
    <w:p w14:paraId="5EA10547" w14:textId="77777777" w:rsidR="003674D8" w:rsidRPr="00606D21" w:rsidRDefault="003674D8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nadawanie i weryfikowanie uprawnień użytkowników w ramach usług świadczonych przez Centralne Systemy Internetowe Policji oraz Centralny Węzeł Internetowy KGP;</w:t>
      </w:r>
    </w:p>
    <w:p w14:paraId="62544C28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prowadzenie akcji podnoszących świadomość w obszarze </w:t>
      </w:r>
      <w:proofErr w:type="spellStart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w </w:t>
      </w:r>
      <w:r w:rsidR="00B1239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tym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organizacja szkoleń; </w:t>
      </w:r>
    </w:p>
    <w:p w14:paraId="56FA92CA" w14:textId="77777777" w:rsidR="008E7EFA" w:rsidRPr="00606D21" w:rsidRDefault="008E7EFA" w:rsidP="003674D8">
      <w:pPr>
        <w:pStyle w:val="Akapitzlist"/>
        <w:numPr>
          <w:ilvl w:val="0"/>
          <w:numId w:val="1"/>
        </w:numPr>
        <w:spacing w:line="300" w:lineRule="exact"/>
        <w:ind w:left="1068" w:hanging="21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szacowanie ryzyka w obszarze cyberbezpieczeństwa w Policji.</w:t>
      </w:r>
    </w:p>
    <w:p w14:paraId="65DE3DAD" w14:textId="77777777" w:rsidR="008E7EFA" w:rsidRPr="00606D21" w:rsidRDefault="008E7EFA" w:rsidP="008E7EFA">
      <w:pPr>
        <w:spacing w:before="120" w:line="300" w:lineRule="exact"/>
        <w:ind w:left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2. Do zadań Sekcji do spraw Utrzymania Centralnych Systemów Internetowych i Obsługi Incydentów</w:t>
      </w:r>
      <w:r w:rsidR="00172BE6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172BE6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proofErr w:type="spellEnd"/>
      <w:r w:rsidR="00172BE6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Poznaniu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należy w szczególności: </w:t>
      </w:r>
    </w:p>
    <w:p w14:paraId="19F0FE13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wydajności, obciążenia i przepustowości infrastruktury teleinformatycznej oraz podejmowanie działań modernizacyjnych w zakresie infrastruktury teleinformatycznej w celu optymalnego wykorzystania posiadanych zasobów;</w:t>
      </w:r>
    </w:p>
    <w:p w14:paraId="4D4FEBC7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przeprowadzanie analiz funkcjonujących usług pod kątem ich optymalizacji; </w:t>
      </w:r>
    </w:p>
    <w:p w14:paraId="0E151912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zgłaszanie potrzeb i propozycji w zakresie optymalizacji procesów przetwarzania danych w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systemach informatycznych utrzymywanych przez wydział;</w:t>
      </w:r>
    </w:p>
    <w:p w14:paraId="5A6F90F8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niezbędnych modyfikacji instrukcji i procedur  dotyczących bezpieczeństwa informacji w celu zapewnienia zgodnego z założeniami i sprawnego działania systemów informatycznych pozosta</w:t>
      </w:r>
      <w:r w:rsidR="00B1239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jących we właściwości wydziału;</w:t>
      </w:r>
    </w:p>
    <w:p w14:paraId="0519543D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powiadamianie interesariuszy o awariach oraz wszelkich zaobserwowanych nieprawidłowościach w funkcjonowaniu systemów informatycznych;</w:t>
      </w:r>
    </w:p>
    <w:p w14:paraId="37C148FB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współpraca z zespołami serwisowymi podmiotów zewnętrznych w celu jak najszybszego usunięcia zgłoszonych nieprawidłowości i awarii;</w:t>
      </w:r>
    </w:p>
    <w:p w14:paraId="0D198E18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wymiana informacji w ramach punktów kontaktowych Zespołu POL-CERT; </w:t>
      </w:r>
    </w:p>
    <w:p w14:paraId="286CD815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całodobowy monitoring i obsługa systemów bezpieczeństwa Centralnego Węzła Internetowego KGP;</w:t>
      </w:r>
    </w:p>
    <w:p w14:paraId="72AA5B4B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wspieranie użytkowników w zakresie dostępu do usług;</w:t>
      </w:r>
    </w:p>
    <w:p w14:paraId="0C7D38E5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techniczne zarządzanie od strony administracyjnej uprawnieniami użytkowników Centralnego Węzła Internetowego KGP w zakresie dostępu mobilnego i niestandardowych usług;</w:t>
      </w:r>
    </w:p>
    <w:p w14:paraId="3AFC6B5B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koordynowanie, inicjowanie i uruchamianie procedur reagowania na incydenty cyberbezpieczeństwa w jawnych systemach i sieciach teleinformatycznych Policji;</w:t>
      </w:r>
    </w:p>
    <w:p w14:paraId="00AF4473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zabezpieczanie i zlecanie zabezpieczenia śladów cyfrowych związanych z incydentami cyberbezpieczeństwa;</w:t>
      </w:r>
    </w:p>
    <w:p w14:paraId="5EE1A0B4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wytycznych i standardów w zakresie architektury bezpieczeństwa systemów teleinformatycznych Policji;</w:t>
      </w:r>
    </w:p>
    <w:p w14:paraId="10DF0AB0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wspieranie działań komórek organizacyjnych KGP oraz jednostek organizacyjnych Policji, w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szczególności K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omendy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ojewódzkiej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olicji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Pozn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aniu,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="00606D21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obszarze osiągania zdolności do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zapewnienia bezpieczeństwa cyberprzestrzeni Policji; </w:t>
      </w:r>
    </w:p>
    <w:p w14:paraId="57A9B317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stosowanie zaakceptowanych środków technicznych i organizacyjnych do zdalnego zarządzania i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kontroli konfiguracji sieci i systemów teleinformatycznych;</w:t>
      </w:r>
    </w:p>
    <w:p w14:paraId="24485931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prowadzenie portali informacyjnych na potrzeby obsługi 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incydentów </w:t>
      </w:r>
      <w:proofErr w:type="spellStart"/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proofErr w:type="spellEnd"/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dla</w:t>
      </w:r>
      <w:r w:rsidR="003674D8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jawnych systemów i sieci teleinformatycznych Policji;</w:t>
      </w:r>
    </w:p>
    <w:p w14:paraId="06926C7E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organizowanie szkoleń z zakresu reagowania n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 incydenty </w:t>
      </w:r>
      <w:proofErr w:type="spellStart"/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proofErr w:type="spellEnd"/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A58E063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udzielanie opinii dotyczącej nowych projektów teleinformatycznych Policji w zakresie cyberbezpieczeństwa;</w:t>
      </w:r>
    </w:p>
    <w:p w14:paraId="7EA4FBCB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analiza i zarządzanie w zakresie reagowania na wykryte podatności sprzętu i oprogramowania;</w:t>
      </w:r>
    </w:p>
    <w:p w14:paraId="1A5CA60A" w14:textId="77777777" w:rsidR="008E7EFA" w:rsidRPr="00606D21" w:rsidRDefault="008E7EFA" w:rsidP="008E7EFA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specjalistyczne zadania realizowane w ramach SOC lub Centrum Zarządzania Siecią (NOC) obejmujące monitoring bezpieczeństwa (analiza i korelacja logów), identyfikację i wstępną obsługę incydentów.”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F5A9AE2" w14:textId="77777777" w:rsidR="008E7EFA" w:rsidRPr="00606D21" w:rsidRDefault="008C246F" w:rsidP="008C246F">
      <w:pPr>
        <w:tabs>
          <w:tab w:val="left" w:pos="426"/>
        </w:tabs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3)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8E7EFA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załącznik do decyzji otrzymuje brzmienie określone w załączniku do niniejszej decyzji.</w:t>
      </w:r>
    </w:p>
    <w:p w14:paraId="01F4B45C" w14:textId="77777777" w:rsidR="008E7EFA" w:rsidRPr="00606D21" w:rsidRDefault="008E7EFA" w:rsidP="008E7EFA">
      <w:pPr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3B7E266" w14:textId="77777777" w:rsidR="008E7EFA" w:rsidRPr="00606D21" w:rsidRDefault="008E7EFA" w:rsidP="008E7EFA">
      <w:pPr>
        <w:shd w:val="clear" w:color="auto" w:fill="FFFFFF"/>
        <w:spacing w:line="300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06D2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§ 2.</w:t>
      </w:r>
      <w:r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Decyzja wc</w:t>
      </w:r>
      <w:r w:rsidR="00F7183B" w:rsidRPr="00606D21">
        <w:rPr>
          <w:rFonts w:ascii="Times New Roman" w:eastAsia="Times New Roman" w:hAnsi="Times New Roman" w:cs="Times New Roman"/>
          <w:color w:val="auto"/>
          <w:sz w:val="22"/>
          <w:szCs w:val="22"/>
        </w:rPr>
        <w:t>hodzi w życie z dniem 15 czerwca 2024 r.</w:t>
      </w:r>
    </w:p>
    <w:p w14:paraId="607526A4" w14:textId="77777777" w:rsidR="008E7EFA" w:rsidRPr="00606D21" w:rsidRDefault="008E7EFA" w:rsidP="008E7EFA">
      <w:pPr>
        <w:pStyle w:val="Tekstpodstawowy1"/>
        <w:shd w:val="clear" w:color="auto" w:fill="auto"/>
        <w:spacing w:after="120" w:line="300" w:lineRule="exact"/>
        <w:ind w:firstLine="0"/>
        <w:jc w:val="both"/>
        <w:rPr>
          <w:sz w:val="22"/>
          <w:szCs w:val="22"/>
        </w:rPr>
      </w:pPr>
    </w:p>
    <w:p w14:paraId="09584C48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1B730C72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27B14449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56957A50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3F822814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F485902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158BA873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29CA0E08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478922F8" w14:textId="77777777" w:rsidR="008E7EFA" w:rsidRPr="00606D21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30F6AAB" w14:textId="77777777" w:rsidR="008E7EFA" w:rsidRPr="00606D21" w:rsidRDefault="008E7EFA" w:rsidP="008E7EFA">
      <w:pPr>
        <w:spacing w:after="120" w:line="300" w:lineRule="exac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317C1583" w14:textId="77777777" w:rsidR="008E7EFA" w:rsidRDefault="008E7EFA" w:rsidP="008E7EFA">
      <w:pPr>
        <w:spacing w:after="120" w:line="300" w:lineRule="exac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005211F1" w14:textId="77777777" w:rsidR="003674D8" w:rsidRDefault="003674D8" w:rsidP="008E7EFA">
      <w:pPr>
        <w:spacing w:after="120" w:line="300" w:lineRule="exac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67870BBC" w14:textId="77777777" w:rsidR="008E7EFA" w:rsidRPr="00C767F4" w:rsidRDefault="008E7EFA" w:rsidP="008E7EFA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Uzasadnie</w:t>
      </w: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nie</w:t>
      </w:r>
    </w:p>
    <w:p w14:paraId="42DA2C8D" w14:textId="77777777" w:rsidR="008E7EFA" w:rsidRPr="00017DC3" w:rsidRDefault="008E7EFA" w:rsidP="008E7EFA">
      <w:pPr>
        <w:spacing w:after="120" w:line="300" w:lineRule="exact"/>
        <w:ind w:right="23" w:firstLine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6EBEBBF" w14:textId="77777777" w:rsidR="008E7EFA" w:rsidRPr="00DB4E3F" w:rsidRDefault="008E7EFA" w:rsidP="008E7EFA">
      <w:pPr>
        <w:spacing w:after="120" w:line="300" w:lineRule="exact"/>
        <w:ind w:right="23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Zmiana decyzji nr 97 Dyrektora Biura Łączności i Informatyki Komendy Głównej Policji z dnia 27 maja 2020 r. w sprawie szczegółowej struktury organizacyjnej i schematu organizacyjnego Biura Łączności </w:t>
      </w:r>
      <w:r w:rsidRPr="008C5273">
        <w:rPr>
          <w:rFonts w:ascii="Times New Roman" w:hAnsi="Times New Roman" w:cs="Times New Roman"/>
          <w:sz w:val="22"/>
          <w:szCs w:val="22"/>
        </w:rPr>
        <w:t>i Informatyki</w:t>
      </w: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omendy </w:t>
      </w: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łównej </w:t>
      </w: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olicji</w:t>
      </w: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>, podziału zadań między dyrektorem a jego zastępcami oraz katalogu zadań komórek organizacyjnych,</w:t>
      </w:r>
      <w:r w:rsidRPr="00DB4E3F">
        <w:rPr>
          <w:rFonts w:ascii="Times New Roman" w:hAnsi="Times New Roman" w:cs="Times New Roman"/>
        </w:rPr>
        <w:t xml:space="preserve"> </w:t>
      </w: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zmienionej decyzją nr 184 z dnia 26 października 2021 r., decyzją nr 40 z dnia 23 marca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2022 </w:t>
      </w: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>r. oraz decyzją nr 80 z dnia 12 maja 2023 r., wynika z zatwierdzonej przez Komendanta Głównego Policji notatki służbowej, dotyczącej wzmocnienia etatowego Biura Łączności i Informatyki KGP, którego głównym celem jest zagwarantowanie sprawnej i efektywnej realizacji zadań, przede wszystkim poprzez optymalizację struktury biura oraz racjonalnego wykorzystania pozyskanych zasobów kadrowych.</w:t>
      </w:r>
    </w:p>
    <w:p w14:paraId="63BFE603" w14:textId="77777777" w:rsidR="008E7EFA" w:rsidRPr="00DB4E3F" w:rsidRDefault="008E7EFA" w:rsidP="008E7EFA">
      <w:pPr>
        <w:spacing w:after="120" w:line="300" w:lineRule="exact"/>
        <w:ind w:right="23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B4E3F">
        <w:rPr>
          <w:rFonts w:ascii="Times New Roman" w:eastAsia="Times New Roman" w:hAnsi="Times New Roman" w:cs="Times New Roman"/>
          <w:color w:val="auto"/>
          <w:sz w:val="22"/>
          <w:szCs w:val="22"/>
        </w:rPr>
        <w:t>Powyższe polega na utworzeniu w Wydziale Cyberbezpieczeństwa Sekcji do spraw Utrzymania Centralnych Systemów Internetowych i Obsługi Incydentów Cyberbezpieczeństwa w Poznaniu oraz zapewnieniu ciągłości kierowania i sprawowania nadzoru w ww. Sekcji.</w:t>
      </w:r>
    </w:p>
    <w:p w14:paraId="53E7E2F2" w14:textId="77777777" w:rsidR="008E7EFA" w:rsidRPr="00DB4E3F" w:rsidRDefault="008E7EFA" w:rsidP="008E7EFA">
      <w:pPr>
        <w:spacing w:line="300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1FA404D" w14:textId="77777777" w:rsidR="00DC73D3" w:rsidRDefault="00DC73D3"/>
    <w:sectPr w:rsidR="00DC73D3" w:rsidSect="00B15DD4">
      <w:headerReference w:type="default" r:id="rId8"/>
      <w:endnotePr>
        <w:numFmt w:val="decimal"/>
      </w:endnotePr>
      <w:pgSz w:w="11909" w:h="16838"/>
      <w:pgMar w:top="567" w:right="851" w:bottom="1135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1673" w14:textId="77777777" w:rsidR="00EF1578" w:rsidRDefault="00EF1578" w:rsidP="008E7EFA">
      <w:r>
        <w:separator/>
      </w:r>
    </w:p>
  </w:endnote>
  <w:endnote w:type="continuationSeparator" w:id="0">
    <w:p w14:paraId="640896C0" w14:textId="77777777" w:rsidR="00EF1578" w:rsidRDefault="00EF1578" w:rsidP="008E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6A0A" w14:textId="77777777" w:rsidR="00EF1578" w:rsidRDefault="00EF1578" w:rsidP="008E7EFA">
      <w:r>
        <w:separator/>
      </w:r>
    </w:p>
  </w:footnote>
  <w:footnote w:type="continuationSeparator" w:id="0">
    <w:p w14:paraId="53ADE87D" w14:textId="77777777" w:rsidR="00EF1578" w:rsidRDefault="00EF1578" w:rsidP="008E7EFA">
      <w:r>
        <w:continuationSeparator/>
      </w:r>
    </w:p>
  </w:footnote>
  <w:footnote w:id="1">
    <w:p w14:paraId="71B6FF04" w14:textId="77777777" w:rsidR="008E7EFA" w:rsidRPr="00C57DAC" w:rsidRDefault="008E7EFA" w:rsidP="008E7EFA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57DA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57DAC"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 w:rsidRPr="00C57DAC">
        <w:rPr>
          <w:rFonts w:ascii="Times New Roman" w:hAnsi="Times New Roman" w:cs="Times New Roman"/>
          <w:sz w:val="16"/>
          <w:szCs w:val="16"/>
        </w:rPr>
        <w:t>Zmiany wymienionego zarządzenia zostały ogłoszone w Dz. Urz. KGP z 2016 r. poz. 69, z 2017 r. poz. 44, z 2018 r. poz. 2, 106, i</w:t>
      </w:r>
      <w:r>
        <w:rPr>
          <w:rFonts w:ascii="Times New Roman" w:hAnsi="Times New Roman" w:cs="Times New Roman"/>
          <w:sz w:val="16"/>
          <w:szCs w:val="16"/>
        </w:rPr>
        <w:t xml:space="preserve"> 126, z 2019 r. poz. </w:t>
      </w:r>
      <w:r w:rsidRPr="00C57DAC">
        <w:rPr>
          <w:rFonts w:ascii="Times New Roman" w:hAnsi="Times New Roman" w:cs="Times New Roman"/>
          <w:sz w:val="16"/>
          <w:szCs w:val="16"/>
        </w:rPr>
        <w:t xml:space="preserve">105 i 126, z 2020 r. poz. 16, z 2021 r. poz. 15, 57 i </w:t>
      </w:r>
      <w:r w:rsidRPr="00C57DAC">
        <w:rPr>
          <w:rFonts w:ascii="Times New Roman" w:hAnsi="Times New Roman" w:cs="Times New Roman"/>
          <w:color w:val="auto"/>
          <w:sz w:val="16"/>
          <w:szCs w:val="16"/>
        </w:rPr>
        <w:t xml:space="preserve">101, z 2022 r. </w:t>
      </w:r>
      <w:r w:rsidR="00172BE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poz. 88, 199 i </w:t>
      </w:r>
      <w:r w:rsidR="00172BE6" w:rsidRPr="00606D21">
        <w:rPr>
          <w:rFonts w:ascii="Times New Roman" w:eastAsia="Times New Roman" w:hAnsi="Times New Roman" w:cs="Times New Roman"/>
          <w:color w:val="auto"/>
          <w:sz w:val="16"/>
          <w:szCs w:val="16"/>
        </w:rPr>
        <w:t>218,</w:t>
      </w:r>
      <w:r w:rsidRPr="00606D2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C57DAC">
        <w:rPr>
          <w:rFonts w:ascii="Times New Roman" w:eastAsia="Times New Roman" w:hAnsi="Times New Roman" w:cs="Times New Roman"/>
          <w:color w:val="auto"/>
          <w:sz w:val="16"/>
          <w:szCs w:val="16"/>
        </w:rPr>
        <w:t>z 2023 r. poz. 7</w:t>
      </w:r>
      <w:r w:rsidR="00172BE6" w:rsidRPr="00606D21">
        <w:rPr>
          <w:rFonts w:ascii="Times New Roman" w:eastAsia="Times New Roman" w:hAnsi="Times New Roman" w:cs="Times New Roman"/>
          <w:color w:val="auto"/>
          <w:sz w:val="16"/>
          <w:szCs w:val="16"/>
        </w:rPr>
        <w:t>,</w:t>
      </w:r>
      <w:r w:rsidR="00B12391" w:rsidRPr="00606D2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172BE6" w:rsidRPr="00606D21">
        <w:rPr>
          <w:rFonts w:ascii="Times New Roman" w:eastAsia="Times New Roman" w:hAnsi="Times New Roman" w:cs="Times New Roman"/>
          <w:color w:val="auto"/>
          <w:sz w:val="16"/>
          <w:szCs w:val="16"/>
        </w:rPr>
        <w:t>40 i 79 oraz</w:t>
      </w:r>
      <w:r w:rsidRPr="00606D2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z 2024 r. poz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. 11</w:t>
      </w:r>
      <w:r w:rsidRPr="00C57DAC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A387" w14:textId="77777777" w:rsidR="00C448C6" w:rsidRDefault="00413812">
    <w:pPr>
      <w:pStyle w:val="Nagwek"/>
    </w:pPr>
  </w:p>
  <w:p w14:paraId="39725E17" w14:textId="77777777" w:rsidR="00C34F9F" w:rsidRDefault="00B45670" w:rsidP="00FF11A1">
    <w:pPr>
      <w:pStyle w:val="Nagwek"/>
      <w:ind w:left="4536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</w:p>
  <w:p w14:paraId="73906F7F" w14:textId="77777777" w:rsidR="00C448C6" w:rsidRPr="00DF4C4C" w:rsidRDefault="00413812" w:rsidP="00301653">
    <w:pPr>
      <w:pStyle w:val="Nagwek"/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3A94"/>
    <w:multiLevelType w:val="hybridMultilevel"/>
    <w:tmpl w:val="09BE19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4BA1072"/>
    <w:multiLevelType w:val="hybridMultilevel"/>
    <w:tmpl w:val="4CBC4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FA"/>
    <w:rsid w:val="00037276"/>
    <w:rsid w:val="00172BE6"/>
    <w:rsid w:val="003674D8"/>
    <w:rsid w:val="00413812"/>
    <w:rsid w:val="005500BB"/>
    <w:rsid w:val="00606D21"/>
    <w:rsid w:val="008C246F"/>
    <w:rsid w:val="008C5273"/>
    <w:rsid w:val="008E7EFA"/>
    <w:rsid w:val="00B12391"/>
    <w:rsid w:val="00B45670"/>
    <w:rsid w:val="00DC73D3"/>
    <w:rsid w:val="00DD4A91"/>
    <w:rsid w:val="00E6238E"/>
    <w:rsid w:val="00EF1578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582D"/>
  <w15:chartTrackingRefBased/>
  <w15:docId w15:val="{D0112AD5-3BCE-4509-870A-363996A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7E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8E7E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8E7E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E7EFA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Tekstpodstawowy1">
    <w:name w:val="Tekst podstawowy1"/>
    <w:basedOn w:val="Normalny"/>
    <w:link w:val="Bodytext"/>
    <w:rsid w:val="008E7EFA"/>
    <w:pPr>
      <w:shd w:val="clear" w:color="auto" w:fill="FFFFFF"/>
      <w:spacing w:line="371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8E7E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EF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7E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7EFA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bxgq3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Dębowska</dc:creator>
  <cp:keywords/>
  <dc:description/>
  <cp:lastModifiedBy>Aleksandra Wiechetek-Tarnacka</cp:lastModifiedBy>
  <cp:revision>2</cp:revision>
  <cp:lastPrinted>2024-04-22T05:17:00Z</cp:lastPrinted>
  <dcterms:created xsi:type="dcterms:W3CDTF">2024-06-06T13:34:00Z</dcterms:created>
  <dcterms:modified xsi:type="dcterms:W3CDTF">2024-06-06T13:34:00Z</dcterms:modified>
</cp:coreProperties>
</file>