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E0" w:rsidRDefault="00D304E0" w:rsidP="005F107C">
      <w:pPr>
        <w:rPr>
          <w:sz w:val="24"/>
          <w:szCs w:val="24"/>
        </w:rPr>
      </w:pPr>
      <w:bookmarkStart w:id="0" w:name="_GoBack"/>
      <w:bookmarkEnd w:id="0"/>
    </w:p>
    <w:p w:rsidR="005F107C" w:rsidRPr="005F107C" w:rsidRDefault="005F107C" w:rsidP="005F107C">
      <w:pPr>
        <w:keepNext/>
        <w:spacing w:after="120" w:line="360" w:lineRule="auto"/>
        <w:jc w:val="center"/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</w:pPr>
      <w:bookmarkStart w:id="1" w:name="_Hlk95290807"/>
      <w:r w:rsidRPr="005F107C"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  <w:t>DECYZJA</w:t>
      </w:r>
      <w:bookmarkEnd w:id="1"/>
      <w:r w:rsidRPr="005F107C"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  <w:t xml:space="preserve"> NR  ……</w:t>
      </w:r>
    </w:p>
    <w:p w:rsidR="005F107C" w:rsidRPr="005F107C" w:rsidRDefault="005F107C" w:rsidP="005F107C">
      <w:pPr>
        <w:keepNext/>
        <w:spacing w:after="120" w:line="360" w:lineRule="auto"/>
        <w:jc w:val="center"/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</w:pPr>
      <w:r w:rsidRPr="005F107C"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  <w:t xml:space="preserve">DYREKTORA BIURA LOGISTYKI POLICJI </w:t>
      </w:r>
    </w:p>
    <w:p w:rsidR="005F107C" w:rsidRPr="005F107C" w:rsidRDefault="005F107C" w:rsidP="005F107C">
      <w:pPr>
        <w:keepNext/>
        <w:spacing w:after="120" w:line="360" w:lineRule="auto"/>
        <w:jc w:val="center"/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</w:pPr>
      <w:r w:rsidRPr="005F107C"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  <w:t>KOMENDY GŁÓWNEJ POLICJI</w:t>
      </w:r>
    </w:p>
    <w:p w:rsidR="005F107C" w:rsidRPr="005F107C" w:rsidRDefault="005F107C" w:rsidP="005F107C">
      <w:pPr>
        <w:keepNext/>
        <w:spacing w:before="120" w:after="120" w:line="360" w:lineRule="auto"/>
        <w:jc w:val="center"/>
        <w:rPr>
          <w:rFonts w:ascii="Times" w:hAnsi="Times" w:cs="Arial"/>
          <w:b w:val="0"/>
          <w:bCs/>
          <w:sz w:val="24"/>
          <w:szCs w:val="24"/>
          <w:lang w:eastAsia="pl-PL"/>
        </w:rPr>
      </w:pPr>
      <w:r w:rsidRPr="005F107C">
        <w:rPr>
          <w:rFonts w:ascii="Times" w:hAnsi="Times" w:cs="Arial"/>
          <w:b w:val="0"/>
          <w:bCs/>
          <w:sz w:val="24"/>
          <w:szCs w:val="24"/>
          <w:lang w:eastAsia="pl-PL"/>
        </w:rPr>
        <w:t>z dnia …………… 2022 r.</w:t>
      </w:r>
    </w:p>
    <w:p w:rsidR="005F107C" w:rsidRPr="005F107C" w:rsidRDefault="005F107C" w:rsidP="009167F8">
      <w:pPr>
        <w:keepNext/>
        <w:spacing w:before="120" w:after="360" w:line="360" w:lineRule="auto"/>
        <w:jc w:val="center"/>
        <w:rPr>
          <w:rFonts w:ascii="Times" w:hAnsi="Times" w:cs="Arial"/>
          <w:bCs/>
          <w:sz w:val="24"/>
          <w:szCs w:val="24"/>
          <w:lang w:eastAsia="pl-PL"/>
        </w:rPr>
      </w:pPr>
      <w:r w:rsidRPr="005F107C">
        <w:rPr>
          <w:rFonts w:ascii="Times" w:hAnsi="Times" w:cs="Arial"/>
          <w:bCs/>
          <w:sz w:val="24"/>
          <w:szCs w:val="24"/>
          <w:lang w:eastAsia="pl-PL"/>
        </w:rPr>
        <w:t xml:space="preserve">zmieniająca decyzję </w:t>
      </w:r>
      <w:bookmarkStart w:id="2" w:name="_Hlk95134539"/>
      <w:r w:rsidRPr="005F107C">
        <w:rPr>
          <w:rFonts w:ascii="Times" w:hAnsi="Times" w:cs="Arial"/>
          <w:bCs/>
          <w:sz w:val="24"/>
          <w:szCs w:val="24"/>
          <w:lang w:eastAsia="pl-PL"/>
        </w:rPr>
        <w:t xml:space="preserve">w </w:t>
      </w:r>
      <w:r w:rsidR="009167F8" w:rsidRPr="009167F8">
        <w:rPr>
          <w:rFonts w:ascii="Times" w:hAnsi="Times" w:cs="Arial"/>
          <w:bCs/>
          <w:sz w:val="24"/>
          <w:szCs w:val="24"/>
          <w:lang w:eastAsia="pl-PL"/>
        </w:rPr>
        <w:t xml:space="preserve">sprawie szczegółowej </w:t>
      </w:r>
      <w:bookmarkStart w:id="3" w:name="_Hlk95290910"/>
      <w:r w:rsidR="009167F8" w:rsidRPr="009167F8">
        <w:rPr>
          <w:rFonts w:ascii="Times" w:hAnsi="Times" w:cs="Arial"/>
          <w:bCs/>
          <w:sz w:val="24"/>
          <w:szCs w:val="24"/>
          <w:lang w:eastAsia="pl-PL"/>
        </w:rPr>
        <w:t>struktury organizacyjnej i schematu organizacyjnego Biura Logistyki Policji Komendy Głównej Policji, podziału zadań między dyrektorem a jego zastępcami oraz katalogu zadań komórek organizacyjnych</w:t>
      </w:r>
      <w:bookmarkEnd w:id="3"/>
    </w:p>
    <w:bookmarkEnd w:id="2"/>
    <w:p w:rsidR="005F107C" w:rsidRPr="006F581C" w:rsidRDefault="005F107C" w:rsidP="005F107C">
      <w:pPr>
        <w:autoSpaceDE w:val="0"/>
        <w:autoSpaceDN w:val="0"/>
        <w:adjustRightInd w:val="0"/>
        <w:spacing w:before="120" w:line="360" w:lineRule="auto"/>
        <w:ind w:firstLine="510"/>
        <w:jc w:val="both"/>
        <w:rPr>
          <w:rFonts w:ascii="Times" w:hAnsi="Times" w:cs="Arial"/>
          <w:b w:val="0"/>
          <w:bCs/>
          <w:spacing w:val="-2"/>
          <w:sz w:val="24"/>
          <w:lang w:eastAsia="pl-PL"/>
        </w:rPr>
      </w:pPr>
      <w:r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>Na podstawie § 1</w:t>
      </w:r>
      <w:r w:rsidR="009167F8"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>2</w:t>
      </w:r>
      <w:r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 xml:space="preserve"> ust. </w:t>
      </w:r>
      <w:r w:rsidR="009167F8"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>1</w:t>
      </w:r>
      <w:r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 xml:space="preserve"> zarządzenia nr </w:t>
      </w:r>
      <w:r w:rsidR="009167F8"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>2</w:t>
      </w:r>
      <w:r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 xml:space="preserve"> Komendanta Głównego Policji z dnia 1 </w:t>
      </w:r>
      <w:r w:rsidR="009167F8"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>kwietnia</w:t>
      </w:r>
      <w:r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 xml:space="preserve"> 201</w:t>
      </w:r>
      <w:r w:rsidR="009167F8"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>6</w:t>
      </w:r>
      <w:r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 xml:space="preserve"> r. w sprawie </w:t>
      </w:r>
      <w:r w:rsidR="009167F8"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>regulaminu Komendy Głównej Policji</w:t>
      </w:r>
      <w:r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 xml:space="preserve"> (Dz. Urz. KGP poz. </w:t>
      </w:r>
      <w:r w:rsidR="0009153D"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>13, z późn. z</w:t>
      </w:r>
      <w:r w:rsidR="0009153D" w:rsidRPr="006F581C">
        <w:rPr>
          <w:rFonts w:ascii="Times" w:hAnsi="Times" w:cs="Arial"/>
          <w:b w:val="0"/>
          <w:bCs/>
          <w:color w:val="000000" w:themeColor="text1"/>
          <w:spacing w:val="-2"/>
          <w:sz w:val="24"/>
          <w:lang w:eastAsia="pl-PL"/>
        </w:rPr>
        <w:t>m.</w:t>
      </w:r>
      <w:r w:rsidR="00B501A0" w:rsidRPr="006F581C">
        <w:rPr>
          <w:rStyle w:val="Odwoanieprzypisudolnego"/>
          <w:rFonts w:ascii="Times" w:hAnsi="Times" w:cs="Arial"/>
          <w:b w:val="0"/>
          <w:bCs/>
          <w:color w:val="000000" w:themeColor="text1"/>
          <w:spacing w:val="-2"/>
          <w:sz w:val="24"/>
          <w:lang w:eastAsia="pl-PL"/>
        </w:rPr>
        <w:footnoteReference w:id="1"/>
      </w:r>
      <w:r w:rsidR="00D51B05" w:rsidRPr="00D51B05">
        <w:rPr>
          <w:rFonts w:ascii="Times" w:hAnsi="Times" w:cs="Arial"/>
          <w:b w:val="0"/>
          <w:bCs/>
          <w:color w:val="000000" w:themeColor="text1"/>
          <w:spacing w:val="-2"/>
          <w:sz w:val="24"/>
          <w:vertAlign w:val="superscript"/>
          <w:lang w:eastAsia="pl-PL"/>
        </w:rPr>
        <w:t>)</w:t>
      </w:r>
      <w:r w:rsidR="00707755" w:rsidRPr="006F581C">
        <w:rPr>
          <w:rFonts w:ascii="Times" w:hAnsi="Times" w:cs="Arial"/>
          <w:b w:val="0"/>
          <w:bCs/>
          <w:color w:val="000000" w:themeColor="text1"/>
          <w:spacing w:val="-2"/>
          <w:sz w:val="24"/>
          <w:lang w:eastAsia="pl-PL"/>
        </w:rPr>
        <w:t>)</w:t>
      </w:r>
      <w:r w:rsidRPr="006F581C">
        <w:rPr>
          <w:rFonts w:ascii="Times" w:hAnsi="Times" w:cs="Arial"/>
          <w:b w:val="0"/>
          <w:bCs/>
          <w:color w:val="000000" w:themeColor="text1"/>
          <w:spacing w:val="-2"/>
          <w:sz w:val="24"/>
          <w:lang w:eastAsia="pl-PL"/>
        </w:rPr>
        <w:t xml:space="preserve"> </w:t>
      </w:r>
      <w:r w:rsidRPr="006F581C">
        <w:rPr>
          <w:rFonts w:ascii="Times" w:hAnsi="Times" w:cs="Arial"/>
          <w:b w:val="0"/>
          <w:bCs/>
          <w:spacing w:val="-2"/>
          <w:sz w:val="24"/>
          <w:lang w:eastAsia="pl-PL"/>
        </w:rPr>
        <w:t>postanawia się, co następuje:</w:t>
      </w:r>
    </w:p>
    <w:p w:rsidR="00A33988" w:rsidRPr="00367858" w:rsidRDefault="005F107C" w:rsidP="009039E6">
      <w:pPr>
        <w:autoSpaceDE w:val="0"/>
        <w:autoSpaceDN w:val="0"/>
        <w:adjustRightInd w:val="0"/>
        <w:spacing w:before="120" w:after="120" w:line="360" w:lineRule="auto"/>
        <w:ind w:firstLine="510"/>
        <w:jc w:val="both"/>
        <w:rPr>
          <w:rFonts w:ascii="Times" w:hAnsi="Times" w:cs="Arial"/>
          <w:b w:val="0"/>
          <w:spacing w:val="-4"/>
          <w:sz w:val="24"/>
          <w:lang w:eastAsia="pl-PL"/>
        </w:rPr>
      </w:pPr>
      <w:r w:rsidRPr="00367858">
        <w:rPr>
          <w:rFonts w:ascii="Times" w:hAnsi="Times" w:cs="Arial"/>
          <w:spacing w:val="-4"/>
          <w:sz w:val="24"/>
          <w:lang w:eastAsia="pl-PL"/>
        </w:rPr>
        <w:t>§ 1.</w:t>
      </w:r>
      <w:r w:rsidRPr="00367858">
        <w:rPr>
          <w:rFonts w:ascii="Times" w:hAnsi="Times" w:cs="Arial"/>
          <w:b w:val="0"/>
          <w:spacing w:val="-4"/>
          <w:sz w:val="24"/>
          <w:lang w:eastAsia="pl-PL"/>
        </w:rPr>
        <w:t xml:space="preserve"> W decyzji nr </w:t>
      </w:r>
      <w:r w:rsidR="001F02DA" w:rsidRPr="00367858">
        <w:rPr>
          <w:rFonts w:ascii="Times" w:hAnsi="Times" w:cs="Arial"/>
          <w:b w:val="0"/>
          <w:spacing w:val="-4"/>
          <w:sz w:val="24"/>
          <w:lang w:eastAsia="pl-PL"/>
        </w:rPr>
        <w:t>19</w:t>
      </w:r>
      <w:r w:rsidRPr="00367858">
        <w:rPr>
          <w:rFonts w:ascii="Times" w:hAnsi="Times" w:cs="Arial"/>
          <w:b w:val="0"/>
          <w:spacing w:val="-4"/>
          <w:sz w:val="24"/>
          <w:lang w:eastAsia="pl-PL"/>
        </w:rPr>
        <w:t xml:space="preserve"> Dyrektora Biura Logistyki Komendy Głównej Policji </w:t>
      </w:r>
      <w:r w:rsidR="001F02DA" w:rsidRPr="00367858">
        <w:rPr>
          <w:rFonts w:ascii="Times" w:hAnsi="Times" w:cs="Arial"/>
          <w:b w:val="0"/>
          <w:spacing w:val="-4"/>
          <w:sz w:val="24"/>
          <w:lang w:eastAsia="pl-PL"/>
        </w:rPr>
        <w:t>z dnia 5</w:t>
      </w:r>
      <w:r w:rsidR="00367858">
        <w:rPr>
          <w:rFonts w:ascii="Times" w:hAnsi="Times" w:cs="Arial"/>
          <w:b w:val="0"/>
          <w:spacing w:val="-4"/>
          <w:sz w:val="24"/>
          <w:lang w:eastAsia="pl-PL"/>
        </w:rPr>
        <w:t xml:space="preserve"> </w:t>
      </w:r>
      <w:r w:rsidR="001F02DA" w:rsidRPr="00367858">
        <w:rPr>
          <w:rFonts w:ascii="Times" w:hAnsi="Times" w:cs="Arial"/>
          <w:b w:val="0"/>
          <w:spacing w:val="-4"/>
          <w:sz w:val="24"/>
          <w:lang w:eastAsia="pl-PL"/>
        </w:rPr>
        <w:t>czerwca 2018 r. w sprawie szczegółowej struktury organizacyjnej i schematu organizacyjnego Biura Logistyki Policji Komendy Głównej Policji, podziału zadań między dyrektorem a jego zastępcami oraz katalogu zadań komórek organizacyjnych</w:t>
      </w:r>
      <w:r w:rsidRPr="00367858">
        <w:rPr>
          <w:rFonts w:ascii="Times" w:hAnsi="Times" w:cs="Arial"/>
          <w:b w:val="0"/>
          <w:spacing w:val="-4"/>
          <w:sz w:val="24"/>
          <w:lang w:eastAsia="pl-PL"/>
        </w:rPr>
        <w:t>, zmienionej decyzją</w:t>
      </w:r>
      <w:r w:rsidR="00367858">
        <w:rPr>
          <w:rFonts w:ascii="Times" w:hAnsi="Times" w:cs="Arial"/>
          <w:b w:val="0"/>
          <w:spacing w:val="-4"/>
          <w:sz w:val="24"/>
          <w:lang w:eastAsia="pl-PL"/>
        </w:rPr>
        <w:t xml:space="preserve"> </w:t>
      </w:r>
      <w:r w:rsidR="00B80503" w:rsidRPr="00367858">
        <w:rPr>
          <w:rFonts w:ascii="Times" w:hAnsi="Times" w:cs="Arial"/>
          <w:b w:val="0"/>
          <w:spacing w:val="-4"/>
          <w:sz w:val="24"/>
          <w:lang w:eastAsia="pl-PL"/>
        </w:rPr>
        <w:t>nr 4 z dnia 21</w:t>
      </w:r>
      <w:r w:rsidR="00367858">
        <w:rPr>
          <w:rFonts w:ascii="Times" w:hAnsi="Times" w:cs="Arial"/>
          <w:b w:val="0"/>
          <w:spacing w:val="-4"/>
          <w:sz w:val="24"/>
          <w:lang w:eastAsia="pl-PL"/>
        </w:rPr>
        <w:t xml:space="preserve"> </w:t>
      </w:r>
      <w:r w:rsidR="00B80503" w:rsidRPr="00367858">
        <w:rPr>
          <w:rFonts w:ascii="Times" w:hAnsi="Times" w:cs="Arial"/>
          <w:b w:val="0"/>
          <w:spacing w:val="-4"/>
          <w:sz w:val="24"/>
          <w:lang w:eastAsia="pl-PL"/>
        </w:rPr>
        <w:t>stycznia 2020 r., decyzją nr 18 z</w:t>
      </w:r>
      <w:r w:rsidR="00277E81">
        <w:rPr>
          <w:rFonts w:ascii="Times" w:hAnsi="Times" w:cs="Arial"/>
          <w:b w:val="0"/>
          <w:spacing w:val="-4"/>
          <w:sz w:val="24"/>
          <w:lang w:eastAsia="pl-PL"/>
        </w:rPr>
        <w:t> </w:t>
      </w:r>
      <w:r w:rsidR="00B80503" w:rsidRPr="00367858">
        <w:rPr>
          <w:rFonts w:ascii="Times" w:hAnsi="Times" w:cs="Arial"/>
          <w:b w:val="0"/>
          <w:spacing w:val="-4"/>
          <w:sz w:val="24"/>
          <w:lang w:eastAsia="pl-PL"/>
        </w:rPr>
        <w:t>dnia 22 lipca 2020 r., decyzją nr 7 z dnia 5 marca 2021 r. i</w:t>
      </w:r>
      <w:r w:rsidR="00367858">
        <w:rPr>
          <w:rFonts w:ascii="Times" w:hAnsi="Times" w:cs="Arial"/>
          <w:b w:val="0"/>
          <w:spacing w:val="-4"/>
          <w:sz w:val="24"/>
          <w:lang w:eastAsia="pl-PL"/>
        </w:rPr>
        <w:t xml:space="preserve"> </w:t>
      </w:r>
      <w:r w:rsidR="00B80503" w:rsidRPr="00367858">
        <w:rPr>
          <w:rFonts w:ascii="Times" w:hAnsi="Times" w:cs="Arial"/>
          <w:b w:val="0"/>
          <w:spacing w:val="-4"/>
          <w:sz w:val="24"/>
          <w:lang w:eastAsia="pl-PL"/>
        </w:rPr>
        <w:t>decyzją nr 19 z dnia 2</w:t>
      </w:r>
      <w:r w:rsidR="00367858">
        <w:rPr>
          <w:rFonts w:ascii="Times" w:hAnsi="Times" w:cs="Arial"/>
          <w:b w:val="0"/>
          <w:spacing w:val="-4"/>
          <w:sz w:val="24"/>
          <w:lang w:eastAsia="pl-PL"/>
        </w:rPr>
        <w:t> </w:t>
      </w:r>
      <w:r w:rsidR="00B80503" w:rsidRPr="00367858">
        <w:rPr>
          <w:rFonts w:ascii="Times" w:hAnsi="Times" w:cs="Arial"/>
          <w:b w:val="0"/>
          <w:spacing w:val="-4"/>
          <w:sz w:val="24"/>
          <w:lang w:eastAsia="pl-PL"/>
        </w:rPr>
        <w:t>lipca 2021 r.</w:t>
      </w:r>
      <w:r w:rsidR="00BB163C" w:rsidRPr="00367858">
        <w:rPr>
          <w:rFonts w:ascii="Times" w:hAnsi="Times" w:cs="Arial"/>
          <w:b w:val="0"/>
          <w:spacing w:val="-4"/>
          <w:sz w:val="24"/>
          <w:lang w:eastAsia="pl-PL"/>
        </w:rPr>
        <w:t>, wprowadza się następujące zmiany:</w:t>
      </w:r>
    </w:p>
    <w:p w:rsidR="00A33988" w:rsidRPr="00367858" w:rsidRDefault="00A33988" w:rsidP="00FF33C8">
      <w:pPr>
        <w:suppressAutoHyphens w:val="0"/>
        <w:spacing w:line="360" w:lineRule="auto"/>
        <w:ind w:left="510" w:hanging="510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1) w § 7:</w:t>
      </w:r>
    </w:p>
    <w:p w:rsidR="00A33988" w:rsidRPr="00367858" w:rsidRDefault="00FF33C8" w:rsidP="00A33988">
      <w:pPr>
        <w:suppressAutoHyphens w:val="0"/>
        <w:spacing w:line="360" w:lineRule="auto"/>
        <w:ind w:left="993" w:hanging="709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a</w:t>
      </w:r>
      <w:r w:rsidR="00A33988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) w pkt 3 lit. c otrzymuje brzmienie:</w:t>
      </w:r>
    </w:p>
    <w:p w:rsidR="00FC7366" w:rsidRDefault="00A33988" w:rsidP="00FF33C8">
      <w:pPr>
        <w:suppressAutoHyphens w:val="0"/>
        <w:spacing w:line="360" w:lineRule="auto"/>
        <w:ind w:left="993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„c)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="00320A39" w:rsidRPr="00320A39">
        <w:rPr>
          <w:rFonts w:ascii="Times" w:hAnsi="Times" w:cs="Arial"/>
          <w:b w:val="0"/>
          <w:bCs/>
          <w:spacing w:val="-6"/>
          <w:sz w:val="24"/>
          <w:lang w:eastAsia="pl-PL"/>
        </w:rPr>
        <w:t>zaopatrywanie i rozliczanie policjantów KGP, Centralnego Pododdziału Kontrterrorystycznego Policji „BOA” oraz komórek organizacyjnych CBŚP, CBZC i BSWP znajdujących się na terenie działania Komendanta Stołecznego Policji w sprzęt, wyposażenie i materiały uzbrojenia jak</w:t>
      </w:r>
      <w:r w:rsidR="00CC4811">
        <w:rPr>
          <w:rFonts w:ascii="Times" w:hAnsi="Times" w:cs="Arial"/>
          <w:b w:val="0"/>
          <w:bCs/>
          <w:spacing w:val="-6"/>
          <w:sz w:val="24"/>
          <w:lang w:eastAsia="pl-PL"/>
        </w:rPr>
        <w:t> </w:t>
      </w:r>
      <w:r w:rsidR="00320A39" w:rsidRPr="00320A39">
        <w:rPr>
          <w:rFonts w:ascii="Times" w:hAnsi="Times" w:cs="Arial"/>
          <w:b w:val="0"/>
          <w:bCs/>
          <w:spacing w:val="-6"/>
          <w:sz w:val="24"/>
          <w:lang w:eastAsia="pl-PL"/>
        </w:rPr>
        <w:t>również prowadzenie dla tych funkcjonariuszy kont indywidualnych użytkownika,;</w:t>
      </w:r>
    </w:p>
    <w:p w:rsidR="00FC01DB" w:rsidRPr="00367858" w:rsidRDefault="00A33988" w:rsidP="005F107C">
      <w:pPr>
        <w:suppressAutoHyphens w:val="0"/>
        <w:spacing w:line="360" w:lineRule="auto"/>
        <w:ind w:left="510" w:hanging="510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bookmarkStart w:id="4" w:name="_Hlk95206341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2</w:t>
      </w:r>
      <w:r w:rsidR="005F107C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) </w:t>
      </w:r>
      <w:bookmarkStart w:id="5" w:name="_Hlk95203570"/>
      <w:r w:rsidR="00FC01DB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w § 8:</w:t>
      </w:r>
      <w:bookmarkEnd w:id="5"/>
    </w:p>
    <w:p w:rsidR="003A201B" w:rsidRPr="00367858" w:rsidRDefault="00BD693C" w:rsidP="003A201B">
      <w:pPr>
        <w:suppressAutoHyphens w:val="0"/>
        <w:spacing w:line="360" w:lineRule="auto"/>
        <w:ind w:left="567" w:firstLine="142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bookmarkStart w:id="6" w:name="_Hlk95219785"/>
      <w:bookmarkStart w:id="7" w:name="_Hlk95205588"/>
      <w:bookmarkEnd w:id="4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a)</w:t>
      </w:r>
      <w:r w:rsidR="00FC01DB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bookmarkStart w:id="8" w:name="_Hlk95201542"/>
      <w:r w:rsidR="00FC01DB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w </w:t>
      </w:r>
      <w:r w:rsidR="005F107C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pkt 1</w:t>
      </w:r>
      <w:r w:rsidR="003A201B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:</w:t>
      </w:r>
    </w:p>
    <w:p w:rsidR="005F107C" w:rsidRPr="00367858" w:rsidRDefault="00BD693C" w:rsidP="009B32DF">
      <w:pPr>
        <w:numPr>
          <w:ilvl w:val="0"/>
          <w:numId w:val="22"/>
        </w:numPr>
        <w:suppressAutoHyphens w:val="0"/>
        <w:spacing w:line="360" w:lineRule="auto"/>
        <w:ind w:left="1276" w:hanging="284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lit. </w:t>
      </w:r>
      <w:r w:rsidR="00AD3714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a </w:t>
      </w:r>
      <w:r w:rsidR="005F107C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otrzymuje brzmienie:</w:t>
      </w:r>
      <w:bookmarkEnd w:id="6"/>
      <w:bookmarkEnd w:id="8"/>
    </w:p>
    <w:bookmarkEnd w:id="7"/>
    <w:p w:rsidR="005F107C" w:rsidRPr="00367858" w:rsidRDefault="005F107C" w:rsidP="003A201B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</w:t>
      </w:r>
      <w:r w:rsidR="00AD3714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a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) </w:t>
      </w:r>
      <w:r w:rsidR="00AB75C6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zaopatrywanie policjantów i pracowników oraz komórek organizacyjnych KGP, Centralnego Pododdziału Kontreterrorystycznego Policji „BOA” oraz CBŚP,</w:t>
      </w:r>
      <w:r w:rsidR="002F4BD9" w:rsidRPr="00367858">
        <w:rPr>
          <w:spacing w:val="-4"/>
        </w:rPr>
        <w:t xml:space="preserve"> </w:t>
      </w:r>
      <w:r w:rsidR="002F4BD9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CBZC i</w:t>
      </w:r>
      <w:r w:rsidR="006F581C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2F4BD9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BSWP</w:t>
      </w:r>
      <w:r w:rsidR="00707755">
        <w:rPr>
          <w:rFonts w:ascii="Times" w:hAnsi="Times" w:cs="Arial"/>
          <w:b w:val="0"/>
          <w:bCs/>
          <w:spacing w:val="-4"/>
          <w:sz w:val="24"/>
          <w:lang w:eastAsia="pl-PL"/>
        </w:rPr>
        <w:t>,</w:t>
      </w:r>
      <w:r w:rsidR="002F4BD9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AB75C6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znajdujących się na terenie działania Komendanta Stołecznego Policji </w:t>
      </w:r>
      <w:r w:rsidR="00AB75C6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lastRenderedPageBreak/>
        <w:t>w</w:t>
      </w:r>
      <w:r w:rsidR="006F581C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AB75C6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sprzęt, wyposażenie i materiały kwaterunkowe oraz techniki biurowej, w</w:t>
      </w:r>
      <w:r w:rsidR="006F581C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AB75C6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tym sporządzanie niezbędnych dokumentów związanych z uruchamianiem postępowania o</w:t>
      </w:r>
      <w:r w:rsidR="006F581C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AB75C6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udzielenie zamówienia publicznego, uczestniczenie w komisjach przetargowych, przygotowywanie projektów umów, zamówień lub zleceń, dokonywanie odbiorów przedmiotu zamówienia oraz monitorowanie przebiegu zawartych umów, zamówień lub zleceń,”</w:t>
      </w:r>
      <w:r w:rsidR="00707755">
        <w:rPr>
          <w:rFonts w:ascii="Times" w:hAnsi="Times" w:cs="Arial"/>
          <w:b w:val="0"/>
          <w:bCs/>
          <w:spacing w:val="-4"/>
          <w:sz w:val="24"/>
          <w:lang w:eastAsia="pl-PL"/>
        </w:rPr>
        <w:t>,</w:t>
      </w:r>
    </w:p>
    <w:p w:rsidR="00AB75C6" w:rsidRPr="00367858" w:rsidRDefault="00364677" w:rsidP="009B32DF">
      <w:pPr>
        <w:numPr>
          <w:ilvl w:val="0"/>
          <w:numId w:val="22"/>
        </w:numPr>
        <w:suppressAutoHyphens w:val="0"/>
        <w:spacing w:line="360" w:lineRule="auto"/>
        <w:ind w:left="1276" w:hanging="283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bookmarkStart w:id="9" w:name="_Hlk95202064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lit. e i f otrzymują brzmienie:</w:t>
      </w:r>
      <w:bookmarkEnd w:id="9"/>
    </w:p>
    <w:p w:rsidR="00364677" w:rsidRPr="00367858" w:rsidRDefault="00453FFB" w:rsidP="009B32DF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„e)</w:t>
      </w:r>
      <w:r w:rsidR="009B32DF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="0036467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opracowywanie tabel należności sprzętu, wyposażenia i materiałów kwatermistrzowskich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2F4BD9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dla policjantów, </w:t>
      </w:r>
      <w:r w:rsidR="0036467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pracowników i komórek organizacyjnych KGP, Centralnego Pododdziału Kontreterrorysty</w:t>
      </w:r>
      <w:r w:rsidR="002F4BD9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cznego Policji „BOA” oraz CBŚP, </w:t>
      </w:r>
      <w:r w:rsidR="0036467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CBZC</w:t>
      </w:r>
      <w:r w:rsidR="002F4BD9" w:rsidRPr="00367858">
        <w:rPr>
          <w:spacing w:val="-4"/>
        </w:rPr>
        <w:t xml:space="preserve"> </w:t>
      </w:r>
      <w:r w:rsidR="002F4BD9" w:rsidRPr="00367858">
        <w:rPr>
          <w:b w:val="0"/>
          <w:spacing w:val="-4"/>
        </w:rPr>
        <w:t>i</w:t>
      </w:r>
      <w:r w:rsidR="006F581C">
        <w:rPr>
          <w:b w:val="0"/>
          <w:spacing w:val="-4"/>
        </w:rPr>
        <w:t> </w:t>
      </w:r>
      <w:r w:rsidR="002F4BD9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BSWP</w:t>
      </w:r>
      <w:r w:rsidR="00015C00">
        <w:rPr>
          <w:rFonts w:ascii="Times" w:hAnsi="Times" w:cs="Arial"/>
          <w:b w:val="0"/>
          <w:bCs/>
          <w:spacing w:val="-4"/>
          <w:sz w:val="24"/>
          <w:lang w:eastAsia="pl-PL"/>
        </w:rPr>
        <w:t>,</w:t>
      </w:r>
      <w:r w:rsidR="002F4BD9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36467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znajdujących się na terenie działania Komendanta Stołecznego Policji,</w:t>
      </w:r>
    </w:p>
    <w:p w:rsidR="003625BB" w:rsidRPr="00367858" w:rsidRDefault="002E69A5" w:rsidP="009B32DF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3625BB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f)</w:t>
      </w:r>
      <w:r w:rsidR="00BC3B5A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="00086524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realizowanie zadań związanych z zabezpieczeniem wydawania posiłków profilaktycznych dla pracowników i wypłatą świadczenia pieniężnego w zamian za</w:t>
      </w:r>
      <w:r w:rsidR="006F581C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086524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wyżywienie dla policjantów komórek organizacyjnych KGP, Centralnego Pododdziału Kontrterrorystycznego Policji „BOA” oraz CBŚP, </w:t>
      </w:r>
      <w:r w:rsidR="002F4BD9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CBZC i BSWP</w:t>
      </w:r>
      <w:r w:rsidR="00086524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, znajdujących się na terenie działania Komendanta Stołecznego Policji;”,</w:t>
      </w:r>
    </w:p>
    <w:p w:rsidR="00CD48FE" w:rsidRPr="00367858" w:rsidRDefault="00CD48FE" w:rsidP="0057025C">
      <w:pPr>
        <w:suppressAutoHyphens w:val="0"/>
        <w:spacing w:line="360" w:lineRule="auto"/>
        <w:ind w:left="993" w:hanging="709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c) </w:t>
      </w:r>
      <w:bookmarkStart w:id="10" w:name="_Hlk95202519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w pkt 2</w:t>
      </w:r>
      <w:r w:rsidR="0057025C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lit. </w:t>
      </w:r>
      <w:r w:rsidR="005F6C3D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c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i </w:t>
      </w:r>
      <w:r w:rsidR="005F6C3D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d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otrzymują brzmienie:</w:t>
      </w:r>
      <w:bookmarkEnd w:id="10"/>
    </w:p>
    <w:p w:rsidR="00C46FAA" w:rsidRPr="00367858" w:rsidRDefault="00C46FAA" w:rsidP="006C18BB">
      <w:pPr>
        <w:suppressAutoHyphens w:val="0"/>
        <w:spacing w:line="360" w:lineRule="auto"/>
        <w:ind w:left="1701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„c)</w:t>
      </w:r>
      <w:r w:rsidR="00BC3B5A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="00DA17AF" w:rsidRPr="00DA17AF">
        <w:rPr>
          <w:rFonts w:ascii="Times" w:hAnsi="Times" w:cs="Arial"/>
          <w:b w:val="0"/>
          <w:bCs/>
          <w:spacing w:val="-4"/>
          <w:sz w:val="24"/>
          <w:lang w:eastAsia="pl-PL"/>
        </w:rPr>
        <w:t>prowadzenie kart indywidualnego wyposażenia w przedmioty umundurowania i</w:t>
      </w:r>
      <w:r w:rsidR="00DA17AF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DA17AF" w:rsidRPr="00DA17AF">
        <w:rPr>
          <w:rFonts w:ascii="Times" w:hAnsi="Times" w:cs="Arial"/>
          <w:b w:val="0"/>
          <w:bCs/>
          <w:spacing w:val="-4"/>
          <w:sz w:val="24"/>
          <w:lang w:eastAsia="pl-PL"/>
        </w:rPr>
        <w:t>wyposażenia specjalnego oraz naliczanie równoważników pieniężnych za</w:t>
      </w:r>
      <w:r w:rsidR="00DA17AF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DA17AF" w:rsidRPr="00DA17AF">
        <w:rPr>
          <w:rFonts w:ascii="Times" w:hAnsi="Times" w:cs="Arial"/>
          <w:b w:val="0"/>
          <w:bCs/>
          <w:spacing w:val="-4"/>
          <w:sz w:val="24"/>
          <w:lang w:eastAsia="pl-PL"/>
        </w:rPr>
        <w:t>przedmioty niewydane w naturze i ryczałtu pieniężnego na czyszczenie i</w:t>
      </w:r>
      <w:r w:rsidR="00DA17AF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DA17AF" w:rsidRPr="00DA17AF">
        <w:rPr>
          <w:rFonts w:ascii="Times" w:hAnsi="Times" w:cs="Arial"/>
          <w:b w:val="0"/>
          <w:bCs/>
          <w:spacing w:val="-4"/>
          <w:sz w:val="24"/>
          <w:lang w:eastAsia="pl-PL"/>
        </w:rPr>
        <w:t>naprawę wyposażenia specjalnego dla policjantów KGP, Centralnego Pododdziału Kontrterrorystycznego Policji „BOA” oraz CBŚP, CBZC</w:t>
      </w:r>
      <w:r w:rsidR="00DA17AF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i BSWP</w:t>
      </w:r>
      <w:r w:rsidR="00DA17AF" w:rsidRPr="00DA17AF">
        <w:rPr>
          <w:rFonts w:ascii="Times" w:hAnsi="Times" w:cs="Arial"/>
          <w:b w:val="0"/>
          <w:bCs/>
          <w:spacing w:val="-4"/>
          <w:sz w:val="24"/>
          <w:lang w:eastAsia="pl-PL"/>
        </w:rPr>
        <w:t>, pełniących służbę w komórkach organizacyjnych na terenie działania Komendanta Stołecznego Policji,</w:t>
      </w:r>
    </w:p>
    <w:p w:rsidR="00486F93" w:rsidRPr="00367858" w:rsidRDefault="00FB50CC" w:rsidP="006C18BB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486F9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d)</w:t>
      </w:r>
      <w:r w:rsidR="00BC3B5A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="00486F9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prowadzenie kart indywidualnego wyposażenia w odzież roboczą oraz naliczanie ekwiwalentu za pranie odzieży roboczej pracowników KGP, Centralnego Pododdziału Kontreterrorystycznego Policji „BOA” oraz CBŚP, </w:t>
      </w:r>
      <w:r w:rsidR="005A018C" w:rsidRPr="005A018C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CBZC </w:t>
      </w:r>
      <w:r w:rsidR="005A018C">
        <w:rPr>
          <w:rFonts w:ascii="Times" w:hAnsi="Times" w:cs="Arial"/>
          <w:b w:val="0"/>
          <w:bCs/>
          <w:spacing w:val="-4"/>
          <w:sz w:val="24"/>
          <w:lang w:eastAsia="pl-PL"/>
        </w:rPr>
        <w:t>i BSWP</w:t>
      </w:r>
      <w:r w:rsidR="00EF66F9">
        <w:rPr>
          <w:rFonts w:ascii="Times" w:hAnsi="Times" w:cs="Arial"/>
          <w:b w:val="0"/>
          <w:bCs/>
          <w:spacing w:val="-4"/>
          <w:sz w:val="24"/>
          <w:lang w:eastAsia="pl-PL"/>
        </w:rPr>
        <w:t>,</w:t>
      </w:r>
      <w:r w:rsidR="005A018C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486F9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zatrudnionych w</w:t>
      </w:r>
      <w:r w:rsidR="006F581C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486F9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komórkach organizacyjnych na terenie działania Komendanta Stołecznego Policji;</w:t>
      </w:r>
      <w:r w:rsidR="006F581C">
        <w:rPr>
          <w:rFonts w:ascii="Times" w:hAnsi="Times" w:cs="Arial"/>
          <w:b w:val="0"/>
          <w:bCs/>
          <w:spacing w:val="-4"/>
          <w:sz w:val="24"/>
          <w:lang w:eastAsia="pl-PL"/>
        </w:rPr>
        <w:t>”</w:t>
      </w:r>
      <w:r w:rsidR="00AC096D">
        <w:rPr>
          <w:rFonts w:ascii="Times" w:hAnsi="Times" w:cs="Arial"/>
          <w:b w:val="0"/>
          <w:bCs/>
          <w:spacing w:val="-4"/>
          <w:sz w:val="24"/>
          <w:lang w:eastAsia="pl-PL"/>
        </w:rPr>
        <w:t>,</w:t>
      </w:r>
    </w:p>
    <w:p w:rsidR="00A820E4" w:rsidRPr="00367858" w:rsidRDefault="00A820E4" w:rsidP="00A820E4">
      <w:pPr>
        <w:suppressAutoHyphens w:val="0"/>
        <w:spacing w:line="360" w:lineRule="auto"/>
        <w:ind w:left="993" w:hanging="709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d)</w:t>
      </w:r>
      <w:r w:rsidRPr="00367858">
        <w:rPr>
          <w:spacing w:val="-4"/>
        </w:rPr>
        <w:t xml:space="preserve"> </w:t>
      </w:r>
      <w:bookmarkStart w:id="11" w:name="_Hlk95202632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w pkt 4 lit. d otrzymuje brzmienie:</w:t>
      </w:r>
    </w:p>
    <w:bookmarkEnd w:id="11"/>
    <w:p w:rsidR="00E60069" w:rsidRDefault="00A820E4" w:rsidP="00E60069">
      <w:pPr>
        <w:suppressAutoHyphens w:val="0"/>
        <w:spacing w:line="360" w:lineRule="auto"/>
        <w:ind w:left="993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„d)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 xml:space="preserve">zaopatrywanie policjantów KGP, Centralnego Pododdziału Kontreterrorystycznego Policji „BOA” oraz CBŚP, </w:t>
      </w:r>
      <w:r w:rsidR="009E38E1" w:rsidRPr="009E38E1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CBZC </w:t>
      </w:r>
      <w:r w:rsidR="009E38E1">
        <w:rPr>
          <w:rFonts w:ascii="Times" w:hAnsi="Times" w:cs="Arial"/>
          <w:b w:val="0"/>
          <w:bCs/>
          <w:spacing w:val="-4"/>
          <w:sz w:val="24"/>
          <w:lang w:eastAsia="pl-PL"/>
        </w:rPr>
        <w:t>i BSWP</w:t>
      </w:r>
      <w:r w:rsidR="00EF66F9">
        <w:rPr>
          <w:rFonts w:ascii="Times" w:hAnsi="Times" w:cs="Arial"/>
          <w:b w:val="0"/>
          <w:bCs/>
          <w:spacing w:val="-4"/>
          <w:sz w:val="24"/>
          <w:lang w:eastAsia="pl-PL"/>
        </w:rPr>
        <w:t>,</w:t>
      </w:r>
      <w:r w:rsidR="009E38E1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realizujących zadania na terenie działania Komendanta Stołecznego Policji w przedmioty umundurowania i wyposażenia specjalnego oraz rozliczanie asortymen</w:t>
      </w:r>
      <w:r w:rsidR="00AC096D">
        <w:rPr>
          <w:rFonts w:ascii="Times" w:hAnsi="Times" w:cs="Arial"/>
          <w:b w:val="0"/>
          <w:bCs/>
          <w:spacing w:val="-4"/>
          <w:sz w:val="24"/>
          <w:lang w:eastAsia="pl-PL"/>
        </w:rPr>
        <w:t>tu będącego w ich użytkowaniu,”,</w:t>
      </w:r>
    </w:p>
    <w:p w:rsidR="00E60069" w:rsidRPr="00367858" w:rsidRDefault="00E60069" w:rsidP="00E60069">
      <w:pPr>
        <w:suppressAutoHyphens w:val="0"/>
        <w:spacing w:line="360" w:lineRule="auto"/>
        <w:ind w:left="993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</w:p>
    <w:p w:rsidR="00A820E4" w:rsidRPr="00367858" w:rsidRDefault="00A820E4" w:rsidP="00A820E4">
      <w:pPr>
        <w:suppressAutoHyphens w:val="0"/>
        <w:spacing w:line="360" w:lineRule="auto"/>
        <w:ind w:left="993" w:hanging="709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lastRenderedPageBreak/>
        <w:t>e) w pkt 7 lit. e otrzymuje brzmienie:</w:t>
      </w:r>
    </w:p>
    <w:p w:rsidR="00A820E4" w:rsidRPr="00367858" w:rsidRDefault="00A820E4" w:rsidP="00BC3B5A">
      <w:pPr>
        <w:suppressAutoHyphens w:val="0"/>
        <w:spacing w:line="360" w:lineRule="auto"/>
        <w:ind w:left="993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„e)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 xml:space="preserve">wykonywanie pieczęci i stempli na potrzeby komórek organizacyjnych KGP, Centralnego Pododdziału Kontreterrorystycznego Policji „BOA” oraz CBŚP, </w:t>
      </w:r>
      <w:r w:rsidR="009E38E1" w:rsidRPr="009E38E1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CBZC </w:t>
      </w:r>
      <w:r w:rsidR="009E38E1">
        <w:rPr>
          <w:rFonts w:ascii="Times" w:hAnsi="Times" w:cs="Arial"/>
          <w:b w:val="0"/>
          <w:bCs/>
          <w:spacing w:val="-4"/>
          <w:sz w:val="24"/>
          <w:lang w:eastAsia="pl-PL"/>
        </w:rPr>
        <w:t>i BSWP</w:t>
      </w:r>
      <w:r w:rsidR="0043305F">
        <w:rPr>
          <w:rFonts w:ascii="Times" w:hAnsi="Times" w:cs="Arial"/>
          <w:b w:val="0"/>
          <w:bCs/>
          <w:spacing w:val="-4"/>
          <w:sz w:val="24"/>
          <w:lang w:eastAsia="pl-PL"/>
        </w:rPr>
        <w:t>,</w:t>
      </w:r>
      <w:r w:rsidR="009E38E1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znajdujących się na terenie działania Komendanta Stołecznego Policji,</w:t>
      </w:r>
      <w:r w:rsidR="00AB34B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”;</w:t>
      </w:r>
    </w:p>
    <w:p w:rsidR="00AB34B7" w:rsidRPr="00367858" w:rsidRDefault="00A33988" w:rsidP="00D909C3">
      <w:pPr>
        <w:suppressAutoHyphens w:val="0"/>
        <w:spacing w:line="360" w:lineRule="auto"/>
        <w:ind w:left="426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3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)</w:t>
      </w:r>
      <w:r w:rsidR="00D909C3" w:rsidRPr="00367858">
        <w:rPr>
          <w:spacing w:val="-4"/>
        </w:rPr>
        <w:t xml:space="preserve"> 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w § 9</w:t>
      </w:r>
      <w:r w:rsidR="00AB34B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:</w:t>
      </w:r>
    </w:p>
    <w:p w:rsidR="006C18BB" w:rsidRPr="00367858" w:rsidRDefault="00AB34B7" w:rsidP="00AB34B7">
      <w:pPr>
        <w:suppressAutoHyphens w:val="0"/>
        <w:spacing w:line="360" w:lineRule="auto"/>
        <w:ind w:left="284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a)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w pkt 2</w:t>
      </w:r>
      <w:r w:rsidR="006C18BB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:</w:t>
      </w:r>
    </w:p>
    <w:p w:rsidR="00D909C3" w:rsidRPr="00367858" w:rsidRDefault="00D909C3" w:rsidP="006C18BB">
      <w:pPr>
        <w:numPr>
          <w:ilvl w:val="0"/>
          <w:numId w:val="22"/>
        </w:numPr>
        <w:suppressAutoHyphens w:val="0"/>
        <w:spacing w:line="360" w:lineRule="auto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lit. a-d otrzymują brzmienie:</w:t>
      </w:r>
    </w:p>
    <w:p w:rsidR="00D909C3" w:rsidRPr="00367858" w:rsidRDefault="00D909C3" w:rsidP="006C18BB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„a)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>obsługa transportowa KGP, Centralnego Pododdziału Kontreterrory</w:t>
      </w:r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>stycznego Policji „BOA” oraz CBŚP</w:t>
      </w:r>
      <w:r w:rsidR="008362D0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, </w:t>
      </w:r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CBZC i BSWP, 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w</w:t>
      </w:r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C051AF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tym</w:t>
      </w:r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C051AF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-</w:t>
      </w:r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terenowych komórek organizacyjnych CBŚP</w:t>
      </w:r>
      <w:r w:rsidR="008362D0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, </w:t>
      </w:r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CBZC i 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BSWP</w:t>
      </w:r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, 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znajdujących się na terenie działania Komendanta Stołecznego Policji,</w:t>
      </w:r>
    </w:p>
    <w:p w:rsidR="00D909C3" w:rsidRPr="00367858" w:rsidRDefault="00FB50CC" w:rsidP="006C18BB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b)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 xml:space="preserve"> rejestracja służbowego sprzętu transportowego, prowadzenie ewidencji sprzętu transportowego oraz dowodów i tablic rejestracyjnych KGP, Centralnego Pododdziału Kontreterrory</w:t>
      </w:r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>stycznego Policji „BOA” oraz CBŚP</w:t>
      </w:r>
      <w:r w:rsidR="008362D0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,</w:t>
      </w:r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CBZC</w:t>
      </w:r>
      <w:r w:rsidR="008362D0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bookmarkStart w:id="12" w:name="_Hlk95205339"/>
      <w:r w:rsidR="00BF1BBB">
        <w:rPr>
          <w:rFonts w:ascii="Times" w:hAnsi="Times" w:cs="Arial"/>
          <w:b w:val="0"/>
          <w:bCs/>
          <w:spacing w:val="-4"/>
          <w:sz w:val="24"/>
          <w:lang w:eastAsia="pl-PL"/>
        </w:rPr>
        <w:t>i BSWP</w:t>
      </w:r>
      <w:r w:rsidR="008362D0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="008362D0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bookmarkEnd w:id="12"/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w</w:t>
      </w:r>
      <w:r w:rsidR="0035048A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tym</w:t>
      </w:r>
      <w:r w:rsidR="00C051AF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35048A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-</w:t>
      </w:r>
      <w:r w:rsidR="00C051AF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terenowych komórek organizacyjnych CBŚP</w:t>
      </w:r>
      <w:r w:rsidR="008362D0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, </w:t>
      </w:r>
      <w:r w:rsidR="00BF1BBB" w:rsidRPr="00BF1BB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CBZC i BSWP, 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znajdujących się na terenie działania Komendanta Stołecznego Policji,</w:t>
      </w:r>
    </w:p>
    <w:p w:rsidR="00D909C3" w:rsidRPr="00367858" w:rsidRDefault="00FB50CC" w:rsidP="006C18BB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c)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 xml:space="preserve">planowanie obsługi technicznej sprzętu transportowego używanego w KGP, Centralnym Pododdziale Kontreterrorystycznym Policji „BOA” oraz </w:t>
      </w:r>
      <w:r w:rsidR="007F769A" w:rsidRPr="007F769A">
        <w:rPr>
          <w:rFonts w:ascii="Times" w:hAnsi="Times" w:cs="Arial"/>
          <w:b w:val="0"/>
          <w:bCs/>
          <w:spacing w:val="-4"/>
          <w:sz w:val="24"/>
          <w:lang w:eastAsia="pl-PL"/>
        </w:rPr>
        <w:t>CBŚP, CBZC i</w:t>
      </w:r>
      <w:r w:rsidR="00E60069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7F769A" w:rsidRPr="007F769A">
        <w:rPr>
          <w:rFonts w:ascii="Times" w:hAnsi="Times" w:cs="Arial"/>
          <w:b w:val="0"/>
          <w:bCs/>
          <w:spacing w:val="-4"/>
          <w:sz w:val="24"/>
          <w:lang w:eastAsia="pl-PL"/>
        </w:rPr>
        <w:t>BSWP</w:t>
      </w:r>
      <w:r w:rsidR="00D909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="009262DF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="00C051AF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w tym - </w:t>
      </w:r>
      <w:r w:rsidR="00D909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terenowych komórek organizacyjnych CBŚP</w:t>
      </w:r>
      <w:r w:rsidR="009262DF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, </w:t>
      </w:r>
      <w:r w:rsidR="007F769A" w:rsidRPr="007F769A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CBZC i</w:t>
      </w:r>
      <w:r w:rsidR="00E60069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="007F769A" w:rsidRPr="007F769A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BSWP</w:t>
      </w:r>
      <w:r w:rsidR="0035048A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="00D909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znajdujących się na terenie działania Komendanta Stołecznego Policji,</w:t>
      </w:r>
    </w:p>
    <w:p w:rsidR="00C051AF" w:rsidRPr="007F769A" w:rsidRDefault="00FB50CC" w:rsidP="007F769A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d)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 xml:space="preserve"> ocena stopnia przydatności sprzętu transportowego oraz wycofanie z</w:t>
      </w:r>
      <w:r w:rsidR="00E60069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D909C3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użytkowania sprzętu wyeksploatowanego KGP, Centralnego Pododdziału Kontreterrorystycznego Policji „BOA” oraz </w:t>
      </w:r>
      <w:bookmarkStart w:id="13" w:name="_Hlk95205756"/>
      <w:r w:rsidR="007F769A" w:rsidRPr="007F769A">
        <w:rPr>
          <w:rFonts w:ascii="Times" w:hAnsi="Times" w:cs="Arial"/>
          <w:b w:val="0"/>
          <w:bCs/>
          <w:spacing w:val="-4"/>
          <w:sz w:val="24"/>
          <w:lang w:eastAsia="pl-PL"/>
        </w:rPr>
        <w:t>CBŚP, CBZC i BSWP,</w:t>
      </w:r>
      <w:r w:rsidR="00D909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bookmarkEnd w:id="13"/>
      <w:r w:rsidR="00D909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w tym - terenowych komórek organizacyjnych CBŚP</w:t>
      </w:r>
      <w:r w:rsidR="00AD6321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, </w:t>
      </w:r>
      <w:r w:rsidR="007F769A" w:rsidRPr="007F769A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CBZC i BSWP</w:t>
      </w:r>
      <w:r w:rsidR="0035048A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="00D909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znajdujących się</w:t>
      </w:r>
      <w:r w:rsidR="00E60069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="00D909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na terenie działania Komendanta Stołecznego Policji,</w:t>
      </w:r>
      <w:r w:rsidR="006569BA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”</w:t>
      </w:r>
      <w:r w:rsidR="0096763F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</w:p>
    <w:p w:rsidR="009F4413" w:rsidRPr="00367858" w:rsidRDefault="009F4413" w:rsidP="00C051AF">
      <w:pPr>
        <w:numPr>
          <w:ilvl w:val="0"/>
          <w:numId w:val="22"/>
        </w:numPr>
        <w:suppressAutoHyphens w:val="0"/>
        <w:spacing w:line="360" w:lineRule="auto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bookmarkStart w:id="14" w:name="_Hlk95205846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lit. f otrzymuje brzmienie:</w:t>
      </w:r>
    </w:p>
    <w:bookmarkEnd w:id="14"/>
    <w:p w:rsidR="006569BA" w:rsidRDefault="006569BA" w:rsidP="00C051AF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„f)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 xml:space="preserve">sprawowanie nadzoru nad prawidłowością naliczania należności za obsługę codzienną pojazdów, wykonywaną przez policjantów komórek organizacyjnych KGP, Centralnego Pododdziału Kontreterrorystycznego Policji „BOA” oraz </w:t>
      </w:r>
      <w:bookmarkStart w:id="15" w:name="_Hlk95205966"/>
      <w:r w:rsidR="008B580C" w:rsidRPr="008B580C">
        <w:rPr>
          <w:rFonts w:ascii="Times" w:hAnsi="Times" w:cs="Arial"/>
          <w:b w:val="0"/>
          <w:bCs/>
          <w:spacing w:val="-4"/>
          <w:sz w:val="24"/>
          <w:lang w:eastAsia="pl-PL"/>
        </w:rPr>
        <w:t>CBŚP, CBZC i</w:t>
      </w:r>
      <w:r w:rsidR="00DB0C48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8B580C" w:rsidRPr="008B580C">
        <w:rPr>
          <w:rFonts w:ascii="Times" w:hAnsi="Times" w:cs="Arial"/>
          <w:b w:val="0"/>
          <w:bCs/>
          <w:spacing w:val="-4"/>
          <w:sz w:val="24"/>
          <w:lang w:eastAsia="pl-PL"/>
        </w:rPr>
        <w:t>BSWP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bookmarkEnd w:id="15"/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w</w:t>
      </w:r>
      <w:r w:rsidR="008B580C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tym - terenowych komórek organizacyjnych CBŚP, </w:t>
      </w:r>
      <w:bookmarkStart w:id="16" w:name="_Hlk95205989"/>
      <w:r w:rsidR="008B580C" w:rsidRPr="008B580C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CBZC i BSWP</w:t>
      </w:r>
      <w:r w:rsidR="00211886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bookmarkEnd w:id="16"/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znajdujących się na terenie działania Komendanta Stołecznego Policji,</w:t>
      </w:r>
      <w:r w:rsidR="0042162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”,</w:t>
      </w:r>
    </w:p>
    <w:p w:rsidR="00DB0C48" w:rsidRDefault="00DB0C48" w:rsidP="00C051AF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</w:pPr>
    </w:p>
    <w:p w:rsidR="00DB0C48" w:rsidRPr="00367858" w:rsidRDefault="00DB0C48" w:rsidP="00C051AF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</w:p>
    <w:p w:rsidR="006569BA" w:rsidRPr="00367858" w:rsidRDefault="006569BA" w:rsidP="00C051AF">
      <w:pPr>
        <w:numPr>
          <w:ilvl w:val="0"/>
          <w:numId w:val="22"/>
        </w:numPr>
        <w:spacing w:after="120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lastRenderedPageBreak/>
        <w:t>lit. h otrzymuje brzmienie:</w:t>
      </w:r>
    </w:p>
    <w:p w:rsidR="006569BA" w:rsidRPr="00367858" w:rsidRDefault="006569BA" w:rsidP="00C051AF">
      <w:pPr>
        <w:spacing w:line="360" w:lineRule="auto"/>
        <w:ind w:left="1701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„h)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planowanie oraz zakup wyposażenia technicznego i materiałów niezbędnych do</w:t>
      </w:r>
      <w:r w:rsidR="000A4A05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 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prawidłowej eksploatacji sprzętu transportowego pozostającego w</w:t>
      </w:r>
      <w:r w:rsidR="000A4A05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dyspozycji KGP, Centralnego Pododdziału Kontreterrorystycznego Policji „BOA” oraz </w:t>
      </w:r>
      <w:r w:rsidR="0067546D" w:rsidRP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CBŚP, CBZC i</w:t>
      </w:r>
      <w:r w:rsidR="00DB0C4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 </w:t>
      </w:r>
      <w:r w:rsidR="0067546D" w:rsidRP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BSWP</w:t>
      </w:r>
      <w:r w:rsid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w tym - terenowych komórek organizacyjnych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CBŚP</w:t>
      </w:r>
      <w:r w:rsidR="00F10596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, </w:t>
      </w:r>
      <w:r w:rsid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CBZC i BSWP</w:t>
      </w:r>
      <w:r w:rsidR="00C051AF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znajdujących się na terenie działania Komendanta Stołecznego Policji,</w:t>
      </w:r>
      <w:r w:rsidR="0042162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”,</w:t>
      </w:r>
    </w:p>
    <w:p w:rsidR="00125BAA" w:rsidRPr="00367858" w:rsidRDefault="00125BAA" w:rsidP="0096763F">
      <w:pPr>
        <w:numPr>
          <w:ilvl w:val="0"/>
          <w:numId w:val="22"/>
        </w:numPr>
        <w:spacing w:after="120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lit. l-m otrzymują brzmienie:</w:t>
      </w:r>
    </w:p>
    <w:p w:rsidR="000503AC" w:rsidRPr="00367858" w:rsidRDefault="000503AC" w:rsidP="0096763F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„l)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nadzorowanie i monitorowanie prawidłowości zużycia paliwa w sprzęcie transportowym KGP, Centralnego Pododdziału Kontreterrorystycznego Policji „BOA” oraz </w:t>
      </w:r>
      <w:bookmarkStart w:id="17" w:name="_Hlk95206243"/>
      <w:r w:rsid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CBŚP, CBZC i BSWP,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bookmarkEnd w:id="17"/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w tym - terenowych komórek organizacyjnych CBŚP, </w:t>
      </w:r>
      <w:r w:rsidR="0067546D" w:rsidRP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CBZC i BSWP</w:t>
      </w:r>
      <w:r w:rsidR="00654D29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znajdujących się na terenie działania Komendanta Stołecznego Policji,</w:t>
      </w:r>
    </w:p>
    <w:p w:rsidR="006569BA" w:rsidRPr="00367858" w:rsidRDefault="00043A22" w:rsidP="00D87125">
      <w:pPr>
        <w:suppressAutoHyphens w:val="0"/>
        <w:spacing w:line="360" w:lineRule="auto"/>
        <w:ind w:left="1701" w:hanging="425"/>
        <w:jc w:val="both"/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0503AC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m)</w:t>
      </w:r>
      <w:r w:rsidR="000503AC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="000503AC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likwidacja szkód komunikacyjnych w sprzęcie transportowym KGP, Centralnego Pododdziału Kontreterrorystycznego Policji „BOA” oraz </w:t>
      </w:r>
      <w:r w:rsid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CBŚP, CBZC i BSWP,</w:t>
      </w:r>
      <w:r w:rsidR="000503AC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w tym - terenowych komórek organizacyjnych CBŚP,</w:t>
      </w:r>
      <w:r w:rsidR="0067546D" w:rsidRPr="0067546D">
        <w:t xml:space="preserve"> </w:t>
      </w:r>
      <w:r w:rsidR="0067546D" w:rsidRP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CBZC i BSWP</w:t>
      </w:r>
      <w:r w:rsid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="0067546D" w:rsidRPr="0067546D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="000503AC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znajdujących się na</w:t>
      </w:r>
      <w:r w:rsidR="00E21BD0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 </w:t>
      </w:r>
      <w:r w:rsidR="000503AC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terenie działania K</w:t>
      </w:r>
      <w:r w:rsidR="0042162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omendanta Stołecznego Policji,”</w:t>
      </w:r>
      <w:r w:rsidR="00C21F41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;</w:t>
      </w:r>
    </w:p>
    <w:p w:rsidR="00BF4098" w:rsidRPr="00367858" w:rsidRDefault="00BF4098" w:rsidP="00BF4098">
      <w:pPr>
        <w:suppressAutoHyphens w:val="0"/>
        <w:spacing w:line="360" w:lineRule="auto"/>
        <w:ind w:left="426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4)</w:t>
      </w:r>
      <w:r w:rsidRPr="00367858">
        <w:rPr>
          <w:spacing w:val="-4"/>
        </w:rPr>
        <w:t xml:space="preserve"> 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w § 10:</w:t>
      </w:r>
    </w:p>
    <w:p w:rsidR="00BF4098" w:rsidRPr="00367858" w:rsidRDefault="00BF4098" w:rsidP="00BF4098">
      <w:pPr>
        <w:suppressAutoHyphens w:val="0"/>
        <w:spacing w:line="360" w:lineRule="auto"/>
        <w:ind w:left="993" w:hanging="709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a) w pkt 4 lit. c otrzymuje brzmienie:</w:t>
      </w:r>
    </w:p>
    <w:p w:rsidR="00BF4098" w:rsidRPr="00367858" w:rsidRDefault="00BF4098" w:rsidP="0039045E">
      <w:pPr>
        <w:suppressAutoHyphens w:val="0"/>
        <w:spacing w:line="360" w:lineRule="auto"/>
        <w:ind w:left="993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„c)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>przeprowadzenie przeglądów stanu bezpieczeństwa</w:t>
      </w:r>
      <w:r w:rsidR="00890074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pożarowego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, przeglądów technicznych i</w:t>
      </w:r>
      <w:r w:rsidR="00436F65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konserwacji urządzeń przeciwpożarowych i gaśnic w obiektach, budynkach i</w:t>
      </w:r>
      <w:r w:rsidR="00436F65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na</w:t>
      </w:r>
      <w:r w:rsidR="00436F65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terenach będących w trwałym zarządzie KGP użytkowanych przez komórki organizacyjne KGP oraz</w:t>
      </w:r>
      <w:r w:rsidR="00E21BD0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jednostki organizacyjne Policji</w:t>
      </w:r>
      <w:r w:rsidR="00D7757A">
        <w:rPr>
          <w:rFonts w:ascii="Times" w:hAnsi="Times" w:cs="Arial"/>
          <w:b w:val="0"/>
          <w:bCs/>
          <w:spacing w:val="-4"/>
          <w:sz w:val="24"/>
          <w:lang w:eastAsia="pl-PL"/>
        </w:rPr>
        <w:t>, a także w obiektach, budynkach i na terenach udostępnionych przez MSWiA jednostkom organizacyjnym Policji</w:t>
      </w:r>
      <w:r w:rsidR="00C2006A">
        <w:rPr>
          <w:rFonts w:ascii="Times" w:hAnsi="Times" w:cs="Arial"/>
          <w:b w:val="0"/>
          <w:bCs/>
          <w:spacing w:val="-4"/>
          <w:sz w:val="24"/>
          <w:lang w:eastAsia="pl-PL"/>
        </w:rPr>
        <w:t>;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</w:p>
    <w:p w:rsidR="00436F65" w:rsidRPr="00367858" w:rsidRDefault="00436F65" w:rsidP="00D7553C">
      <w:pPr>
        <w:suppressAutoHyphens w:val="0"/>
        <w:spacing w:line="360" w:lineRule="auto"/>
        <w:ind w:left="510" w:hanging="510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bookmarkStart w:id="18" w:name="_Hlk95219319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5</w:t>
      </w:r>
      <w:r w:rsidR="00D7553C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) w § 11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:</w:t>
      </w:r>
    </w:p>
    <w:p w:rsidR="00D7553C" w:rsidRPr="00367858" w:rsidRDefault="00436F65" w:rsidP="00436F65">
      <w:pPr>
        <w:suppressAutoHyphens w:val="0"/>
        <w:spacing w:line="360" w:lineRule="auto"/>
        <w:ind w:left="851" w:hanging="567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a)</w:t>
      </w:r>
      <w:r w:rsidR="00D7553C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w pkt 6 lit. d otrzymuje brzmienie:</w:t>
      </w:r>
    </w:p>
    <w:bookmarkEnd w:id="18"/>
    <w:p w:rsidR="000A5A2C" w:rsidRPr="00367858" w:rsidRDefault="000A5A2C" w:rsidP="00452669">
      <w:pPr>
        <w:suppressAutoHyphens w:val="0"/>
        <w:spacing w:line="360" w:lineRule="auto"/>
        <w:ind w:left="993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„d)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 xml:space="preserve">przygotowywanie dokumentów finansowych umożliwiających realizację uprawnień policjantów Centralnego Pododdziału Kontreterrorystycznego Policji „BOA” oraz CBŚP, </w:t>
      </w:r>
      <w:r w:rsidR="00E907AB" w:rsidRPr="00E907AB">
        <w:rPr>
          <w:rFonts w:ascii="Times" w:hAnsi="Times" w:cs="Arial"/>
          <w:b w:val="0"/>
          <w:bCs/>
          <w:spacing w:val="-4"/>
          <w:sz w:val="24"/>
          <w:lang w:eastAsia="pl-PL"/>
        </w:rPr>
        <w:t>CBZC i BSWP,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do bezpłatnego zakwaterowania w Warszawie na podstawie art. 9</w:t>
      </w:r>
      <w:r w:rsidR="0042162B">
        <w:rPr>
          <w:rFonts w:ascii="Times" w:hAnsi="Times" w:cs="Arial"/>
          <w:b w:val="0"/>
          <w:bCs/>
          <w:spacing w:val="-4"/>
          <w:sz w:val="24"/>
          <w:lang w:eastAsia="pl-PL"/>
        </w:rPr>
        <w:t>6 ust. 4 i 5 ustawy o Policji,”</w:t>
      </w:r>
      <w:r w:rsidR="00C2006A">
        <w:rPr>
          <w:rFonts w:ascii="Times" w:hAnsi="Times" w:cs="Arial"/>
          <w:b w:val="0"/>
          <w:bCs/>
          <w:spacing w:val="-4"/>
          <w:sz w:val="24"/>
          <w:lang w:eastAsia="pl-PL"/>
        </w:rPr>
        <w:t>;</w:t>
      </w:r>
    </w:p>
    <w:p w:rsidR="00B57327" w:rsidRPr="00367858" w:rsidRDefault="00395B03" w:rsidP="001D6B0F">
      <w:pPr>
        <w:suppressAutoHyphens w:val="0"/>
        <w:spacing w:line="360" w:lineRule="auto"/>
        <w:ind w:left="510" w:hanging="510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4</w:t>
      </w:r>
      <w:r w:rsidR="001D6B0F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) w § 12</w:t>
      </w:r>
      <w:r w:rsidR="00B5732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:</w:t>
      </w:r>
    </w:p>
    <w:p w:rsidR="00D87125" w:rsidRPr="00367858" w:rsidRDefault="00B57327" w:rsidP="00436F65">
      <w:pPr>
        <w:suppressAutoHyphens w:val="0"/>
        <w:spacing w:line="360" w:lineRule="auto"/>
        <w:ind w:left="510" w:hanging="2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bookmarkStart w:id="19" w:name="_Hlk95295333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a) </w:t>
      </w:r>
      <w:r w:rsidR="001D6B0F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w pkt 1</w:t>
      </w:r>
      <w:r w:rsidR="00D87125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:</w:t>
      </w:r>
    </w:p>
    <w:p w:rsidR="001D6B0F" w:rsidRPr="00367858" w:rsidRDefault="001D6B0F" w:rsidP="00D87125">
      <w:pPr>
        <w:numPr>
          <w:ilvl w:val="0"/>
          <w:numId w:val="22"/>
        </w:numPr>
        <w:suppressAutoHyphens w:val="0"/>
        <w:spacing w:line="360" w:lineRule="auto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lit. a i b otrzymują brzmienie:</w:t>
      </w:r>
    </w:p>
    <w:bookmarkEnd w:id="19"/>
    <w:p w:rsidR="001D6B0F" w:rsidRPr="00367858" w:rsidRDefault="001D6B0F" w:rsidP="00D87125">
      <w:pPr>
        <w:suppressAutoHyphens w:val="0"/>
        <w:spacing w:line="360" w:lineRule="auto"/>
        <w:ind w:left="1560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„a)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opracowywanie zbiorczych projektów rocznych planów finansowych i</w:t>
      </w:r>
      <w:r w:rsidR="00E907A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rzeczowo-finansowych Policji w zakresie właściwości biura z uwzględnieniem BSWP i</w:t>
      </w:r>
      <w:r w:rsidR="001E75D4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 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Centralnego Pododdziału Kontreterrorystycznego Policji „BOA” oraz dla CBŚP</w:t>
      </w:r>
      <w:r w:rsidR="00395B0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="00395B0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lastRenderedPageBreak/>
        <w:t>i</w:t>
      </w:r>
      <w:r w:rsidR="001E75D4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 </w:t>
      </w:r>
      <w:r w:rsidR="00395B0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CBZC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 w tym dotyczących rezerw celowych i projektów finansowanych ze środków pochodzących z Unii Europejskiej i innych źródeł zagranicznych na każdym etapie planowania budżetu państwa na dany rok budżetowy,</w:t>
      </w:r>
    </w:p>
    <w:p w:rsidR="00B340FF" w:rsidRPr="00367858" w:rsidRDefault="001D6B0F" w:rsidP="00E21BD0">
      <w:pPr>
        <w:suppressAutoHyphens w:val="0"/>
        <w:spacing w:line="360" w:lineRule="auto"/>
        <w:ind w:left="1560" w:hanging="426"/>
        <w:jc w:val="both"/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b)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opracowywanie projektów wieloletnich planów finansowych Policji i rzeczowo-finansowych Policji w zakresie właściwości biura, CBŚP</w:t>
      </w:r>
      <w:r w:rsidR="00395B0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, CBZC, 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BSWP i</w:t>
      </w:r>
      <w:r w:rsidR="00395B0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 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Centralnego Pododdziału Kontret</w:t>
      </w:r>
      <w:r w:rsidR="0042162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errorystycznego Policji „BOA”,”,</w:t>
      </w:r>
    </w:p>
    <w:p w:rsidR="00395B03" w:rsidRPr="00367858" w:rsidRDefault="00395B03" w:rsidP="00D87125">
      <w:pPr>
        <w:numPr>
          <w:ilvl w:val="0"/>
          <w:numId w:val="22"/>
        </w:numPr>
        <w:suppressAutoHyphens w:val="0"/>
        <w:spacing w:line="360" w:lineRule="auto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lit. d i e otr</w:t>
      </w:r>
      <w:r w:rsidR="0057025C">
        <w:rPr>
          <w:rFonts w:ascii="Times" w:hAnsi="Times" w:cs="Arial"/>
          <w:b w:val="0"/>
          <w:bCs/>
          <w:spacing w:val="-4"/>
          <w:sz w:val="24"/>
          <w:lang w:eastAsia="pl-PL"/>
        </w:rPr>
        <w:t>zymują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brzmienie:</w:t>
      </w:r>
    </w:p>
    <w:p w:rsidR="00B57327" w:rsidRPr="00367858" w:rsidRDefault="00B57327" w:rsidP="00D87125">
      <w:pPr>
        <w:suppressAutoHyphens w:val="0"/>
        <w:spacing w:line="360" w:lineRule="auto"/>
        <w:ind w:left="1560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„d)</w:t>
      </w: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opracowywanie harmonogramów realizacji planów finansowych i finansowo-rzeczowych, monitorowanie ich realizacji, a także sporządzanie sprawozdań, analiz i informacji dotyczących ich wykonania w zakresie właściwości biura, CBŚP, </w:t>
      </w:r>
      <w:r w:rsidR="00E907AB" w:rsidRPr="00E907A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CBZC</w:t>
      </w:r>
      <w:r w:rsidR="00E907A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, 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Centralnego Pododdziału Kontreterrorystycznego Policji „BOA”</w:t>
      </w:r>
      <w:r w:rsidR="0043305F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i </w:t>
      </w:r>
      <w:r w:rsidR="0043305F" w:rsidRPr="0043305F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BSWP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</w:p>
    <w:p w:rsidR="00B57327" w:rsidRPr="00367858" w:rsidRDefault="00A5253B" w:rsidP="00D87125">
      <w:pPr>
        <w:suppressAutoHyphens w:val="0"/>
        <w:spacing w:line="360" w:lineRule="auto"/>
        <w:ind w:left="1560" w:hanging="426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bookmarkStart w:id="20" w:name="_Hlk95296198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B5732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e)</w:t>
      </w:r>
      <w:r w:rsidR="00B5732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ab/>
        <w:t>opracowywanie rocznego harmonogramu zasileń finansowych i jego aktualizacja, a</w:t>
      </w:r>
      <w:r w:rsidR="00724E69">
        <w:rPr>
          <w:rFonts w:ascii="Times" w:hAnsi="Times" w:cs="Arial"/>
          <w:b w:val="0"/>
          <w:bCs/>
          <w:spacing w:val="-4"/>
          <w:sz w:val="24"/>
          <w:lang w:eastAsia="pl-PL"/>
        </w:rPr>
        <w:t> </w:t>
      </w:r>
      <w:r w:rsidR="00B57327"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także zgłaszanie zapotrzebowań z niego wynikających do Biura Finansów KGP </w:t>
      </w:r>
      <w:r w:rsidR="00DB7C8C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w </w:t>
      </w:r>
      <w:r w:rsidR="00B57327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zakresie właściwości biura, CBŚP,</w:t>
      </w:r>
      <w:r w:rsidR="00E907AB" w:rsidRPr="00E907AB">
        <w:t xml:space="preserve"> </w:t>
      </w:r>
      <w:r w:rsidR="00E907AB" w:rsidRPr="00E907A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CBZC</w:t>
      </w:r>
      <w:r w:rsidR="00E907A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, BSWP </w:t>
      </w:r>
      <w:r w:rsidR="00B57327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i</w:t>
      </w:r>
      <w:r w:rsidR="00E907A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="00B57327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Centralnego Pododdziału Kontreterrorystycznego Policji „BOA”</w:t>
      </w:r>
      <w:r w:rsidR="0042162B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,”,</w:t>
      </w:r>
    </w:p>
    <w:bookmarkEnd w:id="20"/>
    <w:p w:rsidR="008A3DD0" w:rsidRPr="0057025C" w:rsidRDefault="008A3DD0" w:rsidP="0057025C">
      <w:pPr>
        <w:numPr>
          <w:ilvl w:val="0"/>
          <w:numId w:val="23"/>
        </w:numPr>
        <w:suppressAutoHyphens w:val="0"/>
        <w:spacing w:line="360" w:lineRule="auto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w pkt 3</w:t>
      </w:r>
      <w:r w:rsidR="0057025C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</w:t>
      </w:r>
      <w:r w:rsidR="001A7493">
        <w:rPr>
          <w:rFonts w:ascii="Times" w:hAnsi="Times" w:cs="Arial"/>
          <w:b w:val="0"/>
          <w:bCs/>
          <w:spacing w:val="-4"/>
          <w:sz w:val="24"/>
          <w:lang w:eastAsia="pl-PL"/>
        </w:rPr>
        <w:t>w</w:t>
      </w:r>
      <w:r w:rsidR="005F4095" w:rsidRPr="0057025C">
        <w:rPr>
          <w:rFonts w:ascii="Times" w:hAnsi="Times" w:cs="Arial"/>
          <w:b w:val="0"/>
          <w:bCs/>
          <w:spacing w:val="-4"/>
          <w:sz w:val="24"/>
          <w:lang w:eastAsia="pl-PL"/>
        </w:rPr>
        <w:t xml:space="preserve"> lit. i średnik zastępuje się przecinkiem i dodaje się lit. j i k w brzmieniu:</w:t>
      </w:r>
    </w:p>
    <w:p w:rsidR="005F4095" w:rsidRPr="00367858" w:rsidRDefault="005F4095" w:rsidP="00862E43">
      <w:pPr>
        <w:suppressAutoHyphens w:val="0"/>
        <w:spacing w:line="360" w:lineRule="auto"/>
        <w:ind w:left="1560" w:hanging="426"/>
        <w:jc w:val="both"/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</w:pPr>
      <w:bookmarkStart w:id="21" w:name="_Hlk95296368"/>
      <w:r w:rsidRPr="00367858">
        <w:rPr>
          <w:rFonts w:ascii="Times" w:hAnsi="Times" w:cs="Arial"/>
          <w:b w:val="0"/>
          <w:bCs/>
          <w:spacing w:val="-4"/>
          <w:sz w:val="24"/>
          <w:lang w:eastAsia="pl-PL"/>
        </w:rPr>
        <w:t>„j)</w:t>
      </w:r>
      <w:r w:rsidRPr="00367858">
        <w:rPr>
          <w:rFonts w:ascii="Times" w:hAnsi="Times" w:cs="Arial"/>
          <w:b w:val="0"/>
          <w:bCs/>
          <w:color w:val="FF5050"/>
          <w:spacing w:val="-4"/>
          <w:sz w:val="24"/>
          <w:lang w:eastAsia="pl-PL"/>
        </w:rPr>
        <w:tab/>
      </w:r>
      <w:r w:rsidR="00F14E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koordynowanie procesu udostępniania informacji publicznej w oparciu o przepisy </w:t>
      </w:r>
      <w:r w:rsidR="00A5253B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ustawy </w:t>
      </w:r>
      <w:r w:rsidR="0020067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z dnia 6 września 2001 r. </w:t>
      </w:r>
      <w:r w:rsidR="00F14E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o</w:t>
      </w:r>
      <w:r w:rsidR="0020067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="00F14E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dostępie do informacji publicznej i </w:t>
      </w:r>
      <w:r w:rsidR="00A5253B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ustawy </w:t>
      </w:r>
      <w:r w:rsidR="0020067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z</w:t>
      </w:r>
      <w:r w:rsidR="00862E43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 </w:t>
      </w:r>
      <w:r w:rsidR="0020067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dnia 26 stycznia 1984 r. </w:t>
      </w:r>
      <w:r w:rsidR="00E21BD0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- </w:t>
      </w:r>
      <w:r w:rsidR="001A7493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P</w:t>
      </w:r>
      <w:r w:rsidR="00A5253B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rawo </w:t>
      </w:r>
      <w:r w:rsidR="0020067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prasowe</w:t>
      </w:r>
      <w:r w:rsidR="00F14EC3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</w:p>
    <w:bookmarkEnd w:id="21"/>
    <w:p w:rsidR="00E7187A" w:rsidRPr="00367858" w:rsidRDefault="00A5253B" w:rsidP="00862E43">
      <w:pPr>
        <w:suppressAutoHyphens w:val="0"/>
        <w:spacing w:line="360" w:lineRule="auto"/>
        <w:ind w:left="1560" w:hanging="426"/>
        <w:jc w:val="both"/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</w:pP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="00E7187A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k)</w:t>
      </w:r>
      <w:r w:rsidR="00E7187A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ab/>
        <w:t>koordynowanie procesu udzielania odpowiedzi na interpelacje i zapytania poselskie oraz</w:t>
      </w:r>
      <w:r w:rsidR="00E21BD0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 </w:t>
      </w:r>
      <w:r w:rsidR="00E7187A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interwencje parlamentarzystów, Rzecznika Praw Obywatelskich oraz naczelnych i</w:t>
      </w:r>
      <w:r w:rsidR="0041421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 </w:t>
      </w:r>
      <w:r w:rsidR="00E7187A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centralnych organów administracji rządowej</w:t>
      </w:r>
      <w:r w:rsidR="001A7493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;</w:t>
      </w:r>
      <w:r w:rsidR="00E7187A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”.</w:t>
      </w:r>
    </w:p>
    <w:p w:rsidR="001E23A7" w:rsidRPr="00367858" w:rsidRDefault="001E23A7" w:rsidP="001E23A7">
      <w:pPr>
        <w:suppressAutoHyphens w:val="0"/>
        <w:spacing w:line="360" w:lineRule="auto"/>
        <w:ind w:firstLine="567"/>
        <w:jc w:val="both"/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</w:pPr>
      <w:r w:rsidRPr="00367858">
        <w:rPr>
          <w:rFonts w:ascii="Times" w:hAnsi="Times" w:cs="Arial"/>
          <w:bCs/>
          <w:color w:val="000000"/>
          <w:spacing w:val="-4"/>
          <w:sz w:val="24"/>
          <w:lang w:eastAsia="pl-PL"/>
        </w:rPr>
        <w:t>§ 2.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="00B518A0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Decyzja</w:t>
      </w:r>
      <w:r w:rsidR="00B518A0"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wchodzi w życie z dniem </w:t>
      </w:r>
      <w:r w:rsidR="00B518A0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podpisania</w:t>
      </w:r>
      <w:r w:rsidR="001A7493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,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z mocą od dnia 12</w:t>
      </w:r>
      <w:r w:rsidR="001A7493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 xml:space="preserve"> stycznia </w:t>
      </w:r>
      <w:r w:rsidRPr="00367858">
        <w:rPr>
          <w:rFonts w:ascii="Times" w:hAnsi="Times" w:cs="Arial"/>
          <w:b w:val="0"/>
          <w:bCs/>
          <w:color w:val="000000"/>
          <w:spacing w:val="-4"/>
          <w:sz w:val="24"/>
          <w:lang w:eastAsia="pl-PL"/>
        </w:rPr>
        <w:t>2022 r.</w:t>
      </w:r>
    </w:p>
    <w:p w:rsidR="00E7187A" w:rsidRPr="00367858" w:rsidRDefault="00E7187A" w:rsidP="00E7187A">
      <w:pPr>
        <w:suppressAutoHyphens w:val="0"/>
        <w:spacing w:line="360" w:lineRule="auto"/>
        <w:ind w:left="1134" w:hanging="567"/>
        <w:jc w:val="both"/>
        <w:rPr>
          <w:rFonts w:ascii="Times" w:hAnsi="Times" w:cs="Arial"/>
          <w:b w:val="0"/>
          <w:bCs/>
          <w:spacing w:val="-4"/>
          <w:sz w:val="24"/>
          <w:lang w:eastAsia="pl-PL"/>
        </w:rPr>
      </w:pPr>
    </w:p>
    <w:p w:rsidR="009F4413" w:rsidRDefault="009F4413" w:rsidP="00AD6321">
      <w:pPr>
        <w:suppressAutoHyphens w:val="0"/>
        <w:spacing w:line="360" w:lineRule="auto"/>
        <w:ind w:left="993" w:hanging="426"/>
        <w:jc w:val="both"/>
        <w:rPr>
          <w:rFonts w:ascii="Times" w:hAnsi="Times" w:cs="Arial"/>
          <w:b w:val="0"/>
          <w:bCs/>
          <w:spacing w:val="-2"/>
          <w:sz w:val="24"/>
          <w:lang w:eastAsia="pl-PL"/>
        </w:rPr>
      </w:pPr>
    </w:p>
    <w:p w:rsidR="00D909C3" w:rsidRPr="00486F93" w:rsidRDefault="00D909C3" w:rsidP="00651AD0">
      <w:pPr>
        <w:suppressAutoHyphens w:val="0"/>
        <w:spacing w:line="360" w:lineRule="auto"/>
        <w:ind w:left="993" w:hanging="567"/>
        <w:jc w:val="both"/>
        <w:rPr>
          <w:rFonts w:ascii="Times" w:hAnsi="Times" w:cs="Arial"/>
          <w:b w:val="0"/>
          <w:bCs/>
          <w:spacing w:val="-2"/>
          <w:sz w:val="24"/>
          <w:lang w:eastAsia="pl-PL"/>
        </w:rPr>
      </w:pPr>
    </w:p>
    <w:p w:rsidR="00B501A0" w:rsidRDefault="00B501A0" w:rsidP="00A5253B">
      <w:pPr>
        <w:rPr>
          <w:sz w:val="22"/>
          <w:szCs w:val="22"/>
        </w:rPr>
      </w:pPr>
    </w:p>
    <w:p w:rsidR="009B1321" w:rsidRDefault="009B1321" w:rsidP="009856C2">
      <w:pPr>
        <w:rPr>
          <w:sz w:val="22"/>
          <w:szCs w:val="22"/>
        </w:rPr>
      </w:pPr>
    </w:p>
    <w:p w:rsidR="002F4D6D" w:rsidRDefault="002F4D6D" w:rsidP="00162E4E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2F4D6D" w:rsidRDefault="00F70510" w:rsidP="00162E4E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BIURA LOGISTYKI POLICJI</w:t>
      </w:r>
    </w:p>
    <w:p w:rsidR="00F70510" w:rsidRDefault="00F70510" w:rsidP="00162E4E">
      <w:pPr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>KOMENDY GŁÓWNEJ POLICJI</w:t>
      </w:r>
    </w:p>
    <w:p w:rsidR="002F4D6D" w:rsidRDefault="002F4D6D" w:rsidP="00162E4E">
      <w:pPr>
        <w:ind w:left="7788"/>
        <w:jc w:val="center"/>
        <w:rPr>
          <w:sz w:val="22"/>
          <w:szCs w:val="22"/>
        </w:rPr>
      </w:pPr>
    </w:p>
    <w:p w:rsidR="002F4D6D" w:rsidRDefault="00145B77" w:rsidP="00777935">
      <w:pPr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70510">
        <w:rPr>
          <w:sz w:val="22"/>
          <w:szCs w:val="22"/>
        </w:rPr>
        <w:t xml:space="preserve">insp. </w:t>
      </w:r>
      <w:r w:rsidR="00CC2084">
        <w:rPr>
          <w:sz w:val="22"/>
          <w:szCs w:val="22"/>
        </w:rPr>
        <w:t xml:space="preserve"> Andrzej KROPIWIEC</w:t>
      </w:r>
    </w:p>
    <w:p w:rsidR="003B6096" w:rsidRDefault="003B6096" w:rsidP="00777935">
      <w:pPr>
        <w:ind w:left="4956"/>
        <w:rPr>
          <w:sz w:val="22"/>
          <w:szCs w:val="22"/>
        </w:rPr>
      </w:pPr>
    </w:p>
    <w:p w:rsidR="003B6096" w:rsidRDefault="003B6096" w:rsidP="00777935">
      <w:pPr>
        <w:ind w:left="4956"/>
        <w:rPr>
          <w:sz w:val="22"/>
          <w:szCs w:val="22"/>
        </w:rPr>
      </w:pPr>
    </w:p>
    <w:p w:rsidR="003B6096" w:rsidRDefault="003B6096" w:rsidP="00777935">
      <w:pPr>
        <w:ind w:left="4956"/>
        <w:rPr>
          <w:sz w:val="22"/>
          <w:szCs w:val="22"/>
        </w:rPr>
      </w:pPr>
    </w:p>
    <w:p w:rsidR="0057025C" w:rsidRDefault="0057025C" w:rsidP="00CC4811">
      <w:pPr>
        <w:rPr>
          <w:sz w:val="22"/>
          <w:szCs w:val="22"/>
        </w:rPr>
      </w:pPr>
    </w:p>
    <w:p w:rsidR="00CC4811" w:rsidRDefault="00CC4811" w:rsidP="00CC4811">
      <w:pPr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</w:pPr>
    </w:p>
    <w:p w:rsidR="003B6096" w:rsidRDefault="003B6096" w:rsidP="003B6096">
      <w:pPr>
        <w:jc w:val="center"/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</w:pPr>
      <w:r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  <w:lastRenderedPageBreak/>
        <w:t>UZASADNIENIE</w:t>
      </w:r>
    </w:p>
    <w:p w:rsidR="00DC69AA" w:rsidRDefault="00DC69AA" w:rsidP="003B6096">
      <w:pPr>
        <w:jc w:val="center"/>
        <w:rPr>
          <w:rFonts w:ascii="Times" w:hAnsi="Times"/>
          <w:bCs/>
          <w:caps/>
          <w:spacing w:val="54"/>
          <w:kern w:val="24"/>
          <w:sz w:val="24"/>
          <w:szCs w:val="24"/>
          <w:lang w:eastAsia="pl-PL"/>
        </w:rPr>
      </w:pPr>
    </w:p>
    <w:p w:rsidR="003B6096" w:rsidRDefault="003B6096" w:rsidP="003B6096">
      <w:pPr>
        <w:jc w:val="center"/>
        <w:rPr>
          <w:sz w:val="22"/>
          <w:szCs w:val="22"/>
        </w:rPr>
      </w:pPr>
    </w:p>
    <w:p w:rsidR="00FE6A63" w:rsidRPr="00DC2047" w:rsidRDefault="00DC69AA" w:rsidP="002B4D01">
      <w:pPr>
        <w:spacing w:line="360" w:lineRule="auto"/>
        <w:ind w:firstLine="851"/>
        <w:jc w:val="both"/>
        <w:rPr>
          <w:b w:val="0"/>
          <w:bCs/>
          <w:spacing w:val="-2"/>
          <w:sz w:val="22"/>
          <w:szCs w:val="22"/>
        </w:rPr>
      </w:pPr>
      <w:r w:rsidRPr="00DC2047">
        <w:rPr>
          <w:b w:val="0"/>
          <w:bCs/>
          <w:spacing w:val="-2"/>
          <w:sz w:val="22"/>
          <w:szCs w:val="22"/>
        </w:rPr>
        <w:t xml:space="preserve">Wydanie decyzji zmieniającej decyzję nr 19 Dyrektora Biura Logistyki Policji Komendy Głównej Policji z dnia 5 czerwca 2018 r. </w:t>
      </w:r>
      <w:r w:rsidRPr="00DC2047">
        <w:rPr>
          <w:b w:val="0"/>
          <w:bCs/>
          <w:i/>
          <w:iCs/>
          <w:spacing w:val="-2"/>
          <w:sz w:val="22"/>
          <w:szCs w:val="22"/>
        </w:rPr>
        <w:t>w sprawie szczegółowej struktury organizacyjnej i schematu organizacyjnego Biura Logistyki Policji Komendy Głównej Policji, podziału zadań między dyrektorem a</w:t>
      </w:r>
      <w:r w:rsidR="00FE6A63" w:rsidRPr="00DC2047">
        <w:rPr>
          <w:b w:val="0"/>
          <w:bCs/>
          <w:i/>
          <w:iCs/>
          <w:spacing w:val="-2"/>
          <w:sz w:val="22"/>
          <w:szCs w:val="22"/>
        </w:rPr>
        <w:t> </w:t>
      </w:r>
      <w:r w:rsidRPr="00DC2047">
        <w:rPr>
          <w:b w:val="0"/>
          <w:bCs/>
          <w:i/>
          <w:iCs/>
          <w:spacing w:val="-2"/>
          <w:sz w:val="22"/>
          <w:szCs w:val="22"/>
        </w:rPr>
        <w:t>jego zastępcami oraz katalogu zadań komórek organizacyjnych</w:t>
      </w:r>
      <w:r w:rsidR="00FE6A63" w:rsidRPr="00DC2047">
        <w:rPr>
          <w:b w:val="0"/>
          <w:bCs/>
          <w:i/>
          <w:iCs/>
          <w:spacing w:val="-2"/>
          <w:sz w:val="22"/>
          <w:szCs w:val="22"/>
        </w:rPr>
        <w:t xml:space="preserve"> </w:t>
      </w:r>
      <w:r w:rsidR="00FE6A63" w:rsidRPr="00DC2047">
        <w:rPr>
          <w:b w:val="0"/>
          <w:bCs/>
          <w:spacing w:val="-2"/>
          <w:sz w:val="22"/>
          <w:szCs w:val="22"/>
        </w:rPr>
        <w:t>wynika z konieczności dostosowania przepisów tej decyzji do zmian wprowadzonych w ustawie z dnia 6 kwietnia 1990 r. o Policji na</w:t>
      </w:r>
      <w:r w:rsidR="00DC2047">
        <w:rPr>
          <w:b w:val="0"/>
          <w:bCs/>
          <w:spacing w:val="-2"/>
          <w:sz w:val="22"/>
          <w:szCs w:val="22"/>
        </w:rPr>
        <w:t xml:space="preserve"> </w:t>
      </w:r>
      <w:r w:rsidR="00FE6A63" w:rsidRPr="00DC2047">
        <w:rPr>
          <w:b w:val="0"/>
          <w:bCs/>
          <w:spacing w:val="-2"/>
          <w:sz w:val="22"/>
          <w:szCs w:val="22"/>
        </w:rPr>
        <w:t>podstawie ustawy z dnia 17 grudnia 2021 r. o</w:t>
      </w:r>
      <w:r w:rsidR="00CC4811">
        <w:rPr>
          <w:b w:val="0"/>
          <w:bCs/>
          <w:spacing w:val="-2"/>
          <w:sz w:val="22"/>
          <w:szCs w:val="22"/>
        </w:rPr>
        <w:t> </w:t>
      </w:r>
      <w:r w:rsidR="00FE6A63" w:rsidRPr="00DC2047">
        <w:rPr>
          <w:b w:val="0"/>
          <w:bCs/>
          <w:spacing w:val="-2"/>
          <w:sz w:val="22"/>
          <w:szCs w:val="22"/>
        </w:rPr>
        <w:t>zmianie ustawy o Policji oraz niektórych innych ustaw w związku z</w:t>
      </w:r>
      <w:r w:rsidR="00DC2047">
        <w:rPr>
          <w:b w:val="0"/>
          <w:bCs/>
          <w:spacing w:val="-2"/>
          <w:sz w:val="22"/>
          <w:szCs w:val="22"/>
        </w:rPr>
        <w:t> </w:t>
      </w:r>
      <w:r w:rsidR="00FE6A63" w:rsidRPr="00DC2047">
        <w:rPr>
          <w:b w:val="0"/>
          <w:bCs/>
          <w:spacing w:val="-2"/>
          <w:sz w:val="22"/>
          <w:szCs w:val="22"/>
        </w:rPr>
        <w:t xml:space="preserve">powołaniem </w:t>
      </w:r>
      <w:bookmarkStart w:id="22" w:name="_Hlk95291438"/>
      <w:r w:rsidR="00FE6A63" w:rsidRPr="00DC2047">
        <w:rPr>
          <w:b w:val="0"/>
          <w:bCs/>
          <w:spacing w:val="-2"/>
          <w:sz w:val="22"/>
          <w:szCs w:val="22"/>
        </w:rPr>
        <w:t xml:space="preserve">Centralnego Biura Zwalczania Cyberprzestępczości </w:t>
      </w:r>
      <w:bookmarkEnd w:id="22"/>
      <w:r w:rsidR="00FE6A63" w:rsidRPr="00DC2047">
        <w:rPr>
          <w:b w:val="0"/>
          <w:bCs/>
          <w:spacing w:val="-2"/>
          <w:sz w:val="22"/>
          <w:szCs w:val="22"/>
        </w:rPr>
        <w:t>(Dz. U. poz. 2447).</w:t>
      </w:r>
      <w:r w:rsidR="00A0529D" w:rsidRPr="00DC2047">
        <w:rPr>
          <w:b w:val="0"/>
          <w:bCs/>
          <w:spacing w:val="-2"/>
          <w:sz w:val="22"/>
          <w:szCs w:val="22"/>
        </w:rPr>
        <w:t xml:space="preserve"> </w:t>
      </w:r>
      <w:r w:rsidR="002B4D01" w:rsidRPr="00DC2047">
        <w:rPr>
          <w:b w:val="0"/>
          <w:bCs/>
          <w:spacing w:val="-2"/>
          <w:sz w:val="22"/>
          <w:szCs w:val="22"/>
        </w:rPr>
        <w:t xml:space="preserve">  </w:t>
      </w:r>
      <w:r w:rsidR="002B4D01" w:rsidRPr="00DC2047">
        <w:rPr>
          <w:b w:val="0"/>
          <w:bCs/>
          <w:spacing w:val="-2"/>
          <w:sz w:val="22"/>
          <w:szCs w:val="22"/>
        </w:rPr>
        <w:br/>
        <w:t xml:space="preserve">               </w:t>
      </w:r>
      <w:r w:rsidR="00A0529D" w:rsidRPr="00DC2047">
        <w:rPr>
          <w:b w:val="0"/>
          <w:bCs/>
          <w:spacing w:val="-2"/>
          <w:sz w:val="22"/>
          <w:szCs w:val="22"/>
        </w:rPr>
        <w:t>W</w:t>
      </w:r>
      <w:r w:rsidR="00DC2047">
        <w:rPr>
          <w:b w:val="0"/>
          <w:bCs/>
          <w:spacing w:val="-2"/>
          <w:sz w:val="22"/>
          <w:szCs w:val="22"/>
        </w:rPr>
        <w:t xml:space="preserve"> </w:t>
      </w:r>
      <w:r w:rsidR="00A0529D" w:rsidRPr="00DC2047">
        <w:rPr>
          <w:b w:val="0"/>
          <w:bCs/>
          <w:spacing w:val="-2"/>
          <w:sz w:val="22"/>
          <w:szCs w:val="22"/>
        </w:rPr>
        <w:t>decyzji zostały ujęte zadania realizowane przez Biuro Logistyki Policji KG</w:t>
      </w:r>
      <w:r w:rsidR="009856C2" w:rsidRPr="00DC2047">
        <w:rPr>
          <w:b w:val="0"/>
          <w:bCs/>
          <w:spacing w:val="-2"/>
          <w:sz w:val="22"/>
          <w:szCs w:val="22"/>
        </w:rPr>
        <w:t>P</w:t>
      </w:r>
      <w:r w:rsidR="00A0529D" w:rsidRPr="00DC2047">
        <w:rPr>
          <w:b w:val="0"/>
          <w:bCs/>
          <w:spacing w:val="-2"/>
          <w:sz w:val="22"/>
          <w:szCs w:val="22"/>
        </w:rPr>
        <w:t xml:space="preserve"> na rzecz Centralnego Biura Zwalczania Cyberprzestępczości, dotyczą one zapewnienia gospodarki materiałowo-technicznej, transportowej oraz spraw mieszkaniowych.</w:t>
      </w:r>
    </w:p>
    <w:p w:rsidR="002B4D01" w:rsidRPr="00DC2047" w:rsidRDefault="002B4D01" w:rsidP="002B4D01">
      <w:pPr>
        <w:spacing w:line="360" w:lineRule="auto"/>
        <w:ind w:firstLine="851"/>
        <w:jc w:val="both"/>
        <w:rPr>
          <w:b w:val="0"/>
          <w:bCs/>
          <w:spacing w:val="-2"/>
          <w:sz w:val="22"/>
          <w:szCs w:val="22"/>
        </w:rPr>
      </w:pPr>
      <w:r w:rsidRPr="00DC2047">
        <w:rPr>
          <w:b w:val="0"/>
          <w:bCs/>
          <w:spacing w:val="-2"/>
          <w:sz w:val="22"/>
          <w:szCs w:val="22"/>
        </w:rPr>
        <w:t>Ponadto z dniem 1 października 2020 r. weszły w życie nowe przepisy dotyczące wyżywienia policjantów, tj.:</w:t>
      </w:r>
    </w:p>
    <w:p w:rsidR="002B4D01" w:rsidRPr="00DC2047" w:rsidRDefault="002B4D01" w:rsidP="002B4D01">
      <w:pPr>
        <w:numPr>
          <w:ilvl w:val="0"/>
          <w:numId w:val="24"/>
        </w:numPr>
        <w:spacing w:line="360" w:lineRule="auto"/>
        <w:jc w:val="both"/>
        <w:rPr>
          <w:b w:val="0"/>
          <w:bCs/>
          <w:i/>
          <w:spacing w:val="-2"/>
          <w:sz w:val="22"/>
          <w:szCs w:val="22"/>
        </w:rPr>
      </w:pPr>
      <w:r w:rsidRPr="00DC2047">
        <w:rPr>
          <w:b w:val="0"/>
          <w:bCs/>
          <w:i/>
          <w:spacing w:val="-2"/>
          <w:sz w:val="22"/>
          <w:szCs w:val="22"/>
        </w:rPr>
        <w:t>ustawa z dnia 14 sierpnia 2020 r. o szczególnych rozwiązaniach dotyczących wsparcia służb mundurowych nadzorowanych przez ministra właściwego do spraw wewnętrznych, o zmianie ustawy o</w:t>
      </w:r>
      <w:r w:rsidR="00CC4811">
        <w:rPr>
          <w:b w:val="0"/>
          <w:bCs/>
          <w:i/>
          <w:spacing w:val="-2"/>
          <w:sz w:val="22"/>
          <w:szCs w:val="22"/>
        </w:rPr>
        <w:t> </w:t>
      </w:r>
      <w:r w:rsidRPr="00DC2047">
        <w:rPr>
          <w:b w:val="0"/>
          <w:bCs/>
          <w:i/>
          <w:spacing w:val="-2"/>
          <w:sz w:val="22"/>
          <w:szCs w:val="22"/>
        </w:rPr>
        <w:t xml:space="preserve">Służbie Więziennej oraz niektórych innych ustaw (Dz. U. poz. 1610), </w:t>
      </w:r>
      <w:r w:rsidRPr="00DC2047">
        <w:rPr>
          <w:b w:val="0"/>
          <w:bCs/>
          <w:spacing w:val="-2"/>
          <w:sz w:val="22"/>
          <w:szCs w:val="22"/>
        </w:rPr>
        <w:t>która wprowadza zmiany w</w:t>
      </w:r>
      <w:r w:rsidR="00CC4811">
        <w:rPr>
          <w:b w:val="0"/>
          <w:bCs/>
          <w:spacing w:val="-2"/>
          <w:sz w:val="22"/>
          <w:szCs w:val="22"/>
        </w:rPr>
        <w:t> </w:t>
      </w:r>
      <w:r w:rsidRPr="00DC2047">
        <w:rPr>
          <w:b w:val="0"/>
          <w:bCs/>
          <w:i/>
          <w:spacing w:val="-2"/>
          <w:sz w:val="22"/>
          <w:szCs w:val="22"/>
        </w:rPr>
        <w:t>ustawie z dnia 6 kwietnia 1990 r. o Policji</w:t>
      </w:r>
      <w:r w:rsidRPr="00DC2047">
        <w:rPr>
          <w:b w:val="0"/>
          <w:bCs/>
          <w:spacing w:val="-2"/>
          <w:sz w:val="22"/>
          <w:szCs w:val="22"/>
        </w:rPr>
        <w:t>, w tym w zakresie art. 72, regulującego kwestię wyżywienia policjantów,</w:t>
      </w:r>
    </w:p>
    <w:p w:rsidR="002B4D01" w:rsidRPr="00DC2047" w:rsidRDefault="002B4D01" w:rsidP="002B4D01">
      <w:pPr>
        <w:numPr>
          <w:ilvl w:val="0"/>
          <w:numId w:val="24"/>
        </w:numPr>
        <w:spacing w:line="360" w:lineRule="auto"/>
        <w:jc w:val="both"/>
        <w:rPr>
          <w:b w:val="0"/>
          <w:bCs/>
          <w:i/>
          <w:spacing w:val="-2"/>
          <w:sz w:val="22"/>
          <w:szCs w:val="22"/>
        </w:rPr>
      </w:pPr>
      <w:r w:rsidRPr="00DC2047">
        <w:rPr>
          <w:b w:val="0"/>
          <w:bCs/>
          <w:i/>
          <w:spacing w:val="-2"/>
          <w:sz w:val="22"/>
          <w:szCs w:val="22"/>
        </w:rPr>
        <w:t>rozporządzenie Ministra Spraw Wewnętrznych i Administracji z dnia 28 września 2020 r. w sprawie otrzymywania wyżywienia przez policjantów (Dz. U. poz. 1674).</w:t>
      </w:r>
    </w:p>
    <w:p w:rsidR="000E2184" w:rsidRPr="00DC2047" w:rsidRDefault="002B4D01" w:rsidP="002B4D01">
      <w:pPr>
        <w:spacing w:line="360" w:lineRule="auto"/>
        <w:ind w:firstLine="851"/>
        <w:jc w:val="both"/>
        <w:rPr>
          <w:b w:val="0"/>
          <w:bCs/>
          <w:spacing w:val="-2"/>
          <w:sz w:val="22"/>
          <w:szCs w:val="22"/>
        </w:rPr>
      </w:pPr>
      <w:r w:rsidRPr="00DC2047">
        <w:rPr>
          <w:b w:val="0"/>
          <w:bCs/>
          <w:spacing w:val="-2"/>
          <w:sz w:val="22"/>
          <w:szCs w:val="22"/>
        </w:rPr>
        <w:t>Nowe regulacje wprowadziły między innymi zmianę dotyczącą nazwy świadczenia: „równoważnik pieniężny w zamian za wyżywienie” został zastąpiony należnością określoną jako „świadczenie pieniężne w</w:t>
      </w:r>
      <w:r w:rsidR="00CC4811">
        <w:rPr>
          <w:b w:val="0"/>
          <w:bCs/>
          <w:spacing w:val="-2"/>
          <w:sz w:val="22"/>
          <w:szCs w:val="22"/>
        </w:rPr>
        <w:t> </w:t>
      </w:r>
      <w:r w:rsidRPr="00DC2047">
        <w:rPr>
          <w:b w:val="0"/>
          <w:bCs/>
          <w:spacing w:val="-2"/>
          <w:sz w:val="22"/>
          <w:szCs w:val="22"/>
        </w:rPr>
        <w:t>zamian za wyżywienie”. Dodatkowo, dotychczasowy posiłek profilaktyczny wydawany w naturze uprawnionym policjantom albo równoważnik pieniężny wypłacany w zamian za</w:t>
      </w:r>
      <w:r w:rsidR="00DC2047">
        <w:rPr>
          <w:b w:val="0"/>
          <w:bCs/>
          <w:spacing w:val="-2"/>
          <w:sz w:val="22"/>
          <w:szCs w:val="22"/>
        </w:rPr>
        <w:t xml:space="preserve"> </w:t>
      </w:r>
      <w:r w:rsidRPr="00DC2047">
        <w:rPr>
          <w:b w:val="0"/>
          <w:bCs/>
          <w:spacing w:val="-2"/>
          <w:sz w:val="22"/>
          <w:szCs w:val="22"/>
        </w:rPr>
        <w:t xml:space="preserve">ten posiłek został zastąpiony także „świadczeniem pieniężnym w zamian za wyżywienie”. </w:t>
      </w:r>
    </w:p>
    <w:p w:rsidR="002B4D01" w:rsidRPr="00DC2047" w:rsidRDefault="002B4D01" w:rsidP="002B4D01">
      <w:pPr>
        <w:spacing w:line="360" w:lineRule="auto"/>
        <w:ind w:firstLine="851"/>
        <w:jc w:val="both"/>
        <w:rPr>
          <w:b w:val="0"/>
          <w:bCs/>
          <w:spacing w:val="-2"/>
          <w:sz w:val="22"/>
          <w:szCs w:val="22"/>
        </w:rPr>
      </w:pPr>
      <w:r w:rsidRPr="00DC2047">
        <w:rPr>
          <w:b w:val="0"/>
          <w:bCs/>
          <w:spacing w:val="-2"/>
          <w:sz w:val="22"/>
          <w:szCs w:val="22"/>
        </w:rPr>
        <w:t>Powyższe zmiany zostały uwzględnione w § 1 pkt 2 lit. f przedmiotowej decyzji.</w:t>
      </w:r>
    </w:p>
    <w:p w:rsidR="002B4D01" w:rsidRPr="00DC2047" w:rsidRDefault="00DC2047" w:rsidP="00DC2047">
      <w:pPr>
        <w:spacing w:line="360" w:lineRule="auto"/>
        <w:ind w:firstLine="851"/>
        <w:jc w:val="both"/>
        <w:rPr>
          <w:b w:val="0"/>
          <w:bCs/>
          <w:spacing w:val="-2"/>
          <w:sz w:val="22"/>
          <w:szCs w:val="22"/>
        </w:rPr>
      </w:pPr>
      <w:r w:rsidRPr="00DC2047">
        <w:rPr>
          <w:b w:val="0"/>
          <w:bCs/>
          <w:spacing w:val="-2"/>
          <w:sz w:val="22"/>
          <w:szCs w:val="22"/>
        </w:rPr>
        <w:t>W § 1 pkt 4 lit. b projektowanej decyzji dokonuje się zmiany § 12 pkt 3 decyzji nr 19 Dyrektora Biura Logistyki Policji Komendy Głównej Policji przez dodanie nowych liter j i k dotyczących koordynowania procesu udostępniania informacji publicznej oraz udzielania odpowiedzi na interpelacje, zapytania poselskie, interwencje parlamentarzystów, Rzecznika Praw Obywatelskich oraz naczelnych i</w:t>
      </w:r>
      <w:r w:rsidR="00DD3602">
        <w:rPr>
          <w:b w:val="0"/>
          <w:bCs/>
          <w:spacing w:val="-2"/>
          <w:sz w:val="22"/>
          <w:szCs w:val="22"/>
        </w:rPr>
        <w:t> </w:t>
      </w:r>
      <w:r w:rsidRPr="00DC2047">
        <w:rPr>
          <w:b w:val="0"/>
          <w:bCs/>
          <w:spacing w:val="-2"/>
          <w:sz w:val="22"/>
          <w:szCs w:val="22"/>
        </w:rPr>
        <w:t>centralnych organów administracji rządowej.</w:t>
      </w:r>
    </w:p>
    <w:p w:rsidR="00F44BF7" w:rsidRDefault="00F44BF7" w:rsidP="00FE6A63">
      <w:pPr>
        <w:spacing w:line="360" w:lineRule="auto"/>
        <w:ind w:firstLine="851"/>
        <w:jc w:val="both"/>
        <w:rPr>
          <w:b w:val="0"/>
          <w:bCs/>
          <w:sz w:val="22"/>
          <w:szCs w:val="22"/>
        </w:rPr>
      </w:pPr>
    </w:p>
    <w:p w:rsidR="00DC69AA" w:rsidRPr="00DC69AA" w:rsidRDefault="00DC69AA" w:rsidP="00DC69AA">
      <w:pPr>
        <w:spacing w:line="360" w:lineRule="auto"/>
        <w:ind w:firstLine="851"/>
        <w:jc w:val="both"/>
        <w:rPr>
          <w:b w:val="0"/>
          <w:bCs/>
          <w:sz w:val="22"/>
          <w:szCs w:val="22"/>
        </w:rPr>
      </w:pPr>
    </w:p>
    <w:sectPr w:rsidR="00DC69AA" w:rsidRPr="00DC69AA" w:rsidSect="006F581C">
      <w:headerReference w:type="first" r:id="rId8"/>
      <w:footnotePr>
        <w:pos w:val="beneathText"/>
      </w:footnotePr>
      <w:pgSz w:w="11905" w:h="16837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F8" w:rsidRDefault="008925F8" w:rsidP="00186F48">
      <w:r>
        <w:separator/>
      </w:r>
    </w:p>
  </w:endnote>
  <w:endnote w:type="continuationSeparator" w:id="0">
    <w:p w:rsidR="008925F8" w:rsidRDefault="008925F8" w:rsidP="001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F8" w:rsidRDefault="008925F8" w:rsidP="00186F48">
      <w:r>
        <w:separator/>
      </w:r>
    </w:p>
  </w:footnote>
  <w:footnote w:type="continuationSeparator" w:id="0">
    <w:p w:rsidR="008925F8" w:rsidRDefault="008925F8" w:rsidP="00186F48">
      <w:r>
        <w:continuationSeparator/>
      </w:r>
    </w:p>
  </w:footnote>
  <w:footnote w:id="1">
    <w:p w:rsidR="00B501A0" w:rsidRPr="00707755" w:rsidRDefault="00B501A0" w:rsidP="00D51B05">
      <w:pPr>
        <w:pStyle w:val="Tekstprzypisudolnego"/>
        <w:ind w:left="142" w:hanging="142"/>
        <w:jc w:val="both"/>
        <w:rPr>
          <w:b w:val="0"/>
          <w:bCs/>
          <w:lang w:val="pl-PL"/>
        </w:rPr>
      </w:pPr>
      <w:r w:rsidRPr="00707755">
        <w:rPr>
          <w:rStyle w:val="Odwoanieprzypisudolnego"/>
          <w:b w:val="0"/>
        </w:rPr>
        <w:footnoteRef/>
      </w:r>
      <w:r w:rsidR="00707755" w:rsidRPr="00707755">
        <w:rPr>
          <w:b w:val="0"/>
          <w:vertAlign w:val="superscript"/>
          <w:lang w:val="pl-PL"/>
        </w:rPr>
        <w:t>)</w:t>
      </w:r>
      <w:r w:rsidRPr="00707755">
        <w:rPr>
          <w:b w:val="0"/>
        </w:rPr>
        <w:t xml:space="preserve"> </w:t>
      </w:r>
      <w:r w:rsidRPr="00D51B05">
        <w:rPr>
          <w:b w:val="0"/>
          <w:bCs/>
          <w:spacing w:val="-2"/>
        </w:rPr>
        <w:t>Zmiany wymienionego zarządzenia zostały ogłoszone w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Dz.  Urz.  KGP  z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2016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r.  poz.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69,  z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2017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r.  poz.</w:t>
      </w:r>
      <w:r w:rsidRPr="00D51B05">
        <w:rPr>
          <w:b w:val="0"/>
          <w:bCs/>
          <w:spacing w:val="-2"/>
          <w:lang w:val="pl-PL"/>
        </w:rPr>
        <w:t xml:space="preserve"> </w:t>
      </w:r>
      <w:r w:rsidR="00707755" w:rsidRPr="00D51B05">
        <w:rPr>
          <w:b w:val="0"/>
          <w:bCs/>
          <w:spacing w:val="-2"/>
        </w:rPr>
        <w:t>44,</w:t>
      </w:r>
      <w:r w:rsidR="00707755"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z</w:t>
      </w:r>
      <w:r w:rsidR="00707755"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2018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 xml:space="preserve">r. </w:t>
      </w:r>
      <w:r w:rsidR="00D51B05">
        <w:rPr>
          <w:b w:val="0"/>
          <w:bCs/>
          <w:spacing w:val="-2"/>
        </w:rPr>
        <w:br/>
      </w:r>
      <w:r w:rsidRPr="00D51B05">
        <w:rPr>
          <w:b w:val="0"/>
          <w:bCs/>
          <w:spacing w:val="-2"/>
        </w:rPr>
        <w:t>poz.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2, 106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i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126, z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2019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r. poz.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105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i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126, z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2020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r. poz.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16</w:t>
      </w:r>
      <w:r w:rsidR="00707755" w:rsidRPr="00D51B05">
        <w:rPr>
          <w:b w:val="0"/>
          <w:bCs/>
          <w:spacing w:val="-2"/>
          <w:lang w:val="pl-PL"/>
        </w:rPr>
        <w:t>,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 xml:space="preserve"> z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2021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r. poz.</w:t>
      </w:r>
      <w:r w:rsidRPr="00D51B05">
        <w:rPr>
          <w:b w:val="0"/>
          <w:bCs/>
          <w:spacing w:val="-2"/>
          <w:lang w:val="pl-PL"/>
        </w:rPr>
        <w:t xml:space="preserve"> </w:t>
      </w:r>
      <w:r w:rsidRPr="00D51B05">
        <w:rPr>
          <w:b w:val="0"/>
          <w:bCs/>
          <w:spacing w:val="-2"/>
        </w:rPr>
        <w:t>15</w:t>
      </w:r>
      <w:r w:rsidRPr="00D51B05">
        <w:rPr>
          <w:b w:val="0"/>
          <w:bCs/>
          <w:spacing w:val="-2"/>
          <w:lang w:val="pl-PL"/>
        </w:rPr>
        <w:t xml:space="preserve">, </w:t>
      </w:r>
      <w:r w:rsidRPr="00D51B05">
        <w:rPr>
          <w:b w:val="0"/>
          <w:bCs/>
          <w:spacing w:val="-2"/>
        </w:rPr>
        <w:t>57</w:t>
      </w:r>
      <w:r w:rsidRPr="00D51B05">
        <w:rPr>
          <w:b w:val="0"/>
          <w:bCs/>
          <w:spacing w:val="-2"/>
          <w:lang w:val="pl-PL"/>
        </w:rPr>
        <w:t xml:space="preserve"> i 101</w:t>
      </w:r>
      <w:r w:rsidR="00707755" w:rsidRPr="00D51B05">
        <w:rPr>
          <w:b w:val="0"/>
          <w:bCs/>
          <w:spacing w:val="-2"/>
          <w:lang w:val="pl-PL"/>
        </w:rPr>
        <w:t xml:space="preserve"> oraz z 2022 r. poz. 88</w:t>
      </w:r>
      <w:r w:rsidRPr="00D51B05">
        <w:rPr>
          <w:b w:val="0"/>
          <w:bCs/>
          <w:spacing w:val="-2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8FE" w:rsidRDefault="00CD48FE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703943"/>
    <w:multiLevelType w:val="hybridMultilevel"/>
    <w:tmpl w:val="3A566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13027"/>
    <w:multiLevelType w:val="hybridMultilevel"/>
    <w:tmpl w:val="63FA086C"/>
    <w:lvl w:ilvl="0" w:tplc="5BC610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2A0ABF"/>
    <w:multiLevelType w:val="hybridMultilevel"/>
    <w:tmpl w:val="01F0C3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3C1575"/>
    <w:multiLevelType w:val="hybridMultilevel"/>
    <w:tmpl w:val="F31E6A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33804"/>
    <w:multiLevelType w:val="hybridMultilevel"/>
    <w:tmpl w:val="EDC660EE"/>
    <w:lvl w:ilvl="0" w:tplc="05B681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F12DFE"/>
    <w:multiLevelType w:val="hybridMultilevel"/>
    <w:tmpl w:val="6E984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139C4"/>
    <w:multiLevelType w:val="hybridMultilevel"/>
    <w:tmpl w:val="CB46FC04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640D7"/>
    <w:multiLevelType w:val="hybridMultilevel"/>
    <w:tmpl w:val="53D2FE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 w15:restartNumberingAfterBreak="0">
    <w:nsid w:val="51723610"/>
    <w:multiLevelType w:val="hybridMultilevel"/>
    <w:tmpl w:val="8340C0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5766781"/>
    <w:multiLevelType w:val="hybridMultilevel"/>
    <w:tmpl w:val="73FE40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BDA0057"/>
    <w:multiLevelType w:val="hybridMultilevel"/>
    <w:tmpl w:val="8DEE5C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297C8C"/>
    <w:multiLevelType w:val="hybridMultilevel"/>
    <w:tmpl w:val="15DAD158"/>
    <w:lvl w:ilvl="0" w:tplc="3E20BE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90539A8"/>
    <w:multiLevelType w:val="hybridMultilevel"/>
    <w:tmpl w:val="D3BAFEF4"/>
    <w:lvl w:ilvl="0" w:tplc="7FAA3A10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5A54E8"/>
    <w:multiLevelType w:val="hybridMultilevel"/>
    <w:tmpl w:val="00DC2F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C328BA"/>
    <w:multiLevelType w:val="hybridMultilevel"/>
    <w:tmpl w:val="B7FCEC14"/>
    <w:lvl w:ilvl="0" w:tplc="3680192A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1C269CA"/>
    <w:multiLevelType w:val="hybridMultilevel"/>
    <w:tmpl w:val="4F2232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75E05D38"/>
    <w:multiLevelType w:val="hybridMultilevel"/>
    <w:tmpl w:val="8C7A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9E78E4"/>
    <w:multiLevelType w:val="hybridMultilevel"/>
    <w:tmpl w:val="249E26A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7EBC5528"/>
    <w:multiLevelType w:val="hybridMultilevel"/>
    <w:tmpl w:val="C94C1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F02F3"/>
    <w:multiLevelType w:val="hybridMultilevel"/>
    <w:tmpl w:val="8AF2D0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2"/>
  </w:num>
  <w:num w:numId="7">
    <w:abstractNumId w:val="7"/>
  </w:num>
  <w:num w:numId="8">
    <w:abstractNumId w:val="9"/>
  </w:num>
  <w:num w:numId="9">
    <w:abstractNumId w:val="19"/>
  </w:num>
  <w:num w:numId="10">
    <w:abstractNumId w:val="14"/>
  </w:num>
  <w:num w:numId="11">
    <w:abstractNumId w:val="17"/>
  </w:num>
  <w:num w:numId="12">
    <w:abstractNumId w:val="21"/>
  </w:num>
  <w:num w:numId="13">
    <w:abstractNumId w:val="13"/>
  </w:num>
  <w:num w:numId="14">
    <w:abstractNumId w:val="6"/>
  </w:num>
  <w:num w:numId="15">
    <w:abstractNumId w:val="12"/>
  </w:num>
  <w:num w:numId="16">
    <w:abstractNumId w:val="5"/>
  </w:num>
  <w:num w:numId="17">
    <w:abstractNumId w:val="11"/>
  </w:num>
  <w:num w:numId="18">
    <w:abstractNumId w:val="15"/>
  </w:num>
  <w:num w:numId="19">
    <w:abstractNumId w:val="18"/>
  </w:num>
  <w:num w:numId="20">
    <w:abstractNumId w:val="4"/>
  </w:num>
  <w:num w:numId="21">
    <w:abstractNumId w:val="10"/>
  </w:num>
  <w:num w:numId="22">
    <w:abstractNumId w:val="8"/>
  </w:num>
  <w:num w:numId="23">
    <w:abstractNumId w:val="16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86"/>
    <w:rsid w:val="0001151B"/>
    <w:rsid w:val="00015C00"/>
    <w:rsid w:val="00033667"/>
    <w:rsid w:val="0004250E"/>
    <w:rsid w:val="00042C2F"/>
    <w:rsid w:val="00043A22"/>
    <w:rsid w:val="00046163"/>
    <w:rsid w:val="0004636B"/>
    <w:rsid w:val="000503AC"/>
    <w:rsid w:val="0006032F"/>
    <w:rsid w:val="00075A32"/>
    <w:rsid w:val="00083A80"/>
    <w:rsid w:val="00086524"/>
    <w:rsid w:val="000878F9"/>
    <w:rsid w:val="00090C64"/>
    <w:rsid w:val="0009153D"/>
    <w:rsid w:val="000A1429"/>
    <w:rsid w:val="000A4A05"/>
    <w:rsid w:val="000A5A2C"/>
    <w:rsid w:val="000C15C3"/>
    <w:rsid w:val="000D7F50"/>
    <w:rsid w:val="000E2184"/>
    <w:rsid w:val="000E6E26"/>
    <w:rsid w:val="00113F0D"/>
    <w:rsid w:val="00114AAF"/>
    <w:rsid w:val="00117C6C"/>
    <w:rsid w:val="0012090D"/>
    <w:rsid w:val="00125BAA"/>
    <w:rsid w:val="00130B6C"/>
    <w:rsid w:val="001437AA"/>
    <w:rsid w:val="00144CA4"/>
    <w:rsid w:val="00145B77"/>
    <w:rsid w:val="00145E98"/>
    <w:rsid w:val="00162E4E"/>
    <w:rsid w:val="00164BC1"/>
    <w:rsid w:val="001670A8"/>
    <w:rsid w:val="00176C06"/>
    <w:rsid w:val="00181BDE"/>
    <w:rsid w:val="00186F48"/>
    <w:rsid w:val="00192AE5"/>
    <w:rsid w:val="001A7493"/>
    <w:rsid w:val="001B2AA3"/>
    <w:rsid w:val="001B6601"/>
    <w:rsid w:val="001D678C"/>
    <w:rsid w:val="001D6B0F"/>
    <w:rsid w:val="001E1305"/>
    <w:rsid w:val="001E23A7"/>
    <w:rsid w:val="001E2960"/>
    <w:rsid w:val="001E75D4"/>
    <w:rsid w:val="001F02DA"/>
    <w:rsid w:val="001F034C"/>
    <w:rsid w:val="001F3D41"/>
    <w:rsid w:val="001F7D46"/>
    <w:rsid w:val="00200673"/>
    <w:rsid w:val="00211886"/>
    <w:rsid w:val="00213A36"/>
    <w:rsid w:val="00257D38"/>
    <w:rsid w:val="00264CCB"/>
    <w:rsid w:val="00277E81"/>
    <w:rsid w:val="00281429"/>
    <w:rsid w:val="002950DA"/>
    <w:rsid w:val="00295DB1"/>
    <w:rsid w:val="002A4F23"/>
    <w:rsid w:val="002B4D01"/>
    <w:rsid w:val="002B5DE3"/>
    <w:rsid w:val="002D6C0D"/>
    <w:rsid w:val="002E456C"/>
    <w:rsid w:val="002E5515"/>
    <w:rsid w:val="002E69A5"/>
    <w:rsid w:val="002F4BD9"/>
    <w:rsid w:val="002F4D6D"/>
    <w:rsid w:val="00301669"/>
    <w:rsid w:val="00302587"/>
    <w:rsid w:val="00314B49"/>
    <w:rsid w:val="003164FE"/>
    <w:rsid w:val="00320A39"/>
    <w:rsid w:val="003310EC"/>
    <w:rsid w:val="00345B86"/>
    <w:rsid w:val="0035048A"/>
    <w:rsid w:val="00350FF5"/>
    <w:rsid w:val="00352412"/>
    <w:rsid w:val="00352A7C"/>
    <w:rsid w:val="0035733C"/>
    <w:rsid w:val="003625BB"/>
    <w:rsid w:val="00364677"/>
    <w:rsid w:val="00366387"/>
    <w:rsid w:val="00367858"/>
    <w:rsid w:val="003755FD"/>
    <w:rsid w:val="0039045E"/>
    <w:rsid w:val="00395B03"/>
    <w:rsid w:val="003A201B"/>
    <w:rsid w:val="003B6096"/>
    <w:rsid w:val="003D04DF"/>
    <w:rsid w:val="003D1108"/>
    <w:rsid w:val="003E1FDA"/>
    <w:rsid w:val="003E5904"/>
    <w:rsid w:val="00406F15"/>
    <w:rsid w:val="0041199B"/>
    <w:rsid w:val="00414218"/>
    <w:rsid w:val="00421604"/>
    <w:rsid w:val="0042162B"/>
    <w:rsid w:val="0043305F"/>
    <w:rsid w:val="00436F65"/>
    <w:rsid w:val="00440B65"/>
    <w:rsid w:val="00440C62"/>
    <w:rsid w:val="004453FD"/>
    <w:rsid w:val="00452669"/>
    <w:rsid w:val="00453FFB"/>
    <w:rsid w:val="00457AB2"/>
    <w:rsid w:val="00462927"/>
    <w:rsid w:val="00472947"/>
    <w:rsid w:val="00486F93"/>
    <w:rsid w:val="004963F5"/>
    <w:rsid w:val="004B072C"/>
    <w:rsid w:val="004D6427"/>
    <w:rsid w:val="004D6D95"/>
    <w:rsid w:val="004D78FE"/>
    <w:rsid w:val="004E5C3E"/>
    <w:rsid w:val="004E70AE"/>
    <w:rsid w:val="00517055"/>
    <w:rsid w:val="005464D2"/>
    <w:rsid w:val="005662EC"/>
    <w:rsid w:val="0057025C"/>
    <w:rsid w:val="00574786"/>
    <w:rsid w:val="00580EB5"/>
    <w:rsid w:val="00581A30"/>
    <w:rsid w:val="00581F66"/>
    <w:rsid w:val="0058333B"/>
    <w:rsid w:val="00592150"/>
    <w:rsid w:val="00592CCC"/>
    <w:rsid w:val="005A018C"/>
    <w:rsid w:val="005A26B7"/>
    <w:rsid w:val="005C3B80"/>
    <w:rsid w:val="005C6E96"/>
    <w:rsid w:val="005E029D"/>
    <w:rsid w:val="005F107C"/>
    <w:rsid w:val="005F4095"/>
    <w:rsid w:val="005F6C3D"/>
    <w:rsid w:val="00622D4D"/>
    <w:rsid w:val="00644D53"/>
    <w:rsid w:val="00651937"/>
    <w:rsid w:val="00651AD0"/>
    <w:rsid w:val="00654D29"/>
    <w:rsid w:val="006569BA"/>
    <w:rsid w:val="00657130"/>
    <w:rsid w:val="00661975"/>
    <w:rsid w:val="00666600"/>
    <w:rsid w:val="006667FA"/>
    <w:rsid w:val="0067278D"/>
    <w:rsid w:val="0067546D"/>
    <w:rsid w:val="00675621"/>
    <w:rsid w:val="00686E10"/>
    <w:rsid w:val="006B386B"/>
    <w:rsid w:val="006C18BB"/>
    <w:rsid w:val="006C25B6"/>
    <w:rsid w:val="006C2E4D"/>
    <w:rsid w:val="006F581C"/>
    <w:rsid w:val="006F7E2C"/>
    <w:rsid w:val="0070720E"/>
    <w:rsid w:val="00707755"/>
    <w:rsid w:val="00720649"/>
    <w:rsid w:val="00724E69"/>
    <w:rsid w:val="00726117"/>
    <w:rsid w:val="007340A2"/>
    <w:rsid w:val="00735226"/>
    <w:rsid w:val="00761B74"/>
    <w:rsid w:val="007719E1"/>
    <w:rsid w:val="00777935"/>
    <w:rsid w:val="00783A66"/>
    <w:rsid w:val="007A383E"/>
    <w:rsid w:val="007A7D4F"/>
    <w:rsid w:val="007B276E"/>
    <w:rsid w:val="007D2CBC"/>
    <w:rsid w:val="007F769A"/>
    <w:rsid w:val="00800E0D"/>
    <w:rsid w:val="00806383"/>
    <w:rsid w:val="008146A7"/>
    <w:rsid w:val="00827761"/>
    <w:rsid w:val="008362D0"/>
    <w:rsid w:val="00862E43"/>
    <w:rsid w:val="00864B4C"/>
    <w:rsid w:val="008842A3"/>
    <w:rsid w:val="00884455"/>
    <w:rsid w:val="00890074"/>
    <w:rsid w:val="008925F8"/>
    <w:rsid w:val="008A3DD0"/>
    <w:rsid w:val="008B580C"/>
    <w:rsid w:val="008C0C1E"/>
    <w:rsid w:val="008D365F"/>
    <w:rsid w:val="008D37AD"/>
    <w:rsid w:val="008F018D"/>
    <w:rsid w:val="009039E6"/>
    <w:rsid w:val="00914B98"/>
    <w:rsid w:val="00915F0D"/>
    <w:rsid w:val="009167F8"/>
    <w:rsid w:val="009262DF"/>
    <w:rsid w:val="00927F81"/>
    <w:rsid w:val="00930549"/>
    <w:rsid w:val="00935C05"/>
    <w:rsid w:val="009630E2"/>
    <w:rsid w:val="009664BC"/>
    <w:rsid w:val="0096763F"/>
    <w:rsid w:val="009856C2"/>
    <w:rsid w:val="00986699"/>
    <w:rsid w:val="00992071"/>
    <w:rsid w:val="0099413F"/>
    <w:rsid w:val="009A0E38"/>
    <w:rsid w:val="009B1321"/>
    <w:rsid w:val="009B1C90"/>
    <w:rsid w:val="009B32DF"/>
    <w:rsid w:val="009C3543"/>
    <w:rsid w:val="009C492F"/>
    <w:rsid w:val="009D2C6E"/>
    <w:rsid w:val="009D7803"/>
    <w:rsid w:val="009E38E1"/>
    <w:rsid w:val="009E4909"/>
    <w:rsid w:val="009E7B0A"/>
    <w:rsid w:val="009F4413"/>
    <w:rsid w:val="00A0529D"/>
    <w:rsid w:val="00A05BA3"/>
    <w:rsid w:val="00A1020B"/>
    <w:rsid w:val="00A33654"/>
    <w:rsid w:val="00A33988"/>
    <w:rsid w:val="00A451C8"/>
    <w:rsid w:val="00A51056"/>
    <w:rsid w:val="00A5253B"/>
    <w:rsid w:val="00A61E32"/>
    <w:rsid w:val="00A716B2"/>
    <w:rsid w:val="00A7267D"/>
    <w:rsid w:val="00A820E4"/>
    <w:rsid w:val="00A83DC5"/>
    <w:rsid w:val="00A85892"/>
    <w:rsid w:val="00A93F00"/>
    <w:rsid w:val="00A97420"/>
    <w:rsid w:val="00AB34B7"/>
    <w:rsid w:val="00AB6782"/>
    <w:rsid w:val="00AB75C6"/>
    <w:rsid w:val="00AC096D"/>
    <w:rsid w:val="00AC6A9D"/>
    <w:rsid w:val="00AD3714"/>
    <w:rsid w:val="00AD6321"/>
    <w:rsid w:val="00B14CDD"/>
    <w:rsid w:val="00B22BED"/>
    <w:rsid w:val="00B27B18"/>
    <w:rsid w:val="00B340FF"/>
    <w:rsid w:val="00B438AA"/>
    <w:rsid w:val="00B501A0"/>
    <w:rsid w:val="00B5047E"/>
    <w:rsid w:val="00B518A0"/>
    <w:rsid w:val="00B57327"/>
    <w:rsid w:val="00B80503"/>
    <w:rsid w:val="00BB163C"/>
    <w:rsid w:val="00BC195E"/>
    <w:rsid w:val="00BC2B7C"/>
    <w:rsid w:val="00BC3B5A"/>
    <w:rsid w:val="00BD2AEA"/>
    <w:rsid w:val="00BD693C"/>
    <w:rsid w:val="00BF1BBB"/>
    <w:rsid w:val="00BF4098"/>
    <w:rsid w:val="00C0118D"/>
    <w:rsid w:val="00C04917"/>
    <w:rsid w:val="00C051AF"/>
    <w:rsid w:val="00C134D6"/>
    <w:rsid w:val="00C2006A"/>
    <w:rsid w:val="00C21F41"/>
    <w:rsid w:val="00C32605"/>
    <w:rsid w:val="00C45AD3"/>
    <w:rsid w:val="00C46FAA"/>
    <w:rsid w:val="00C51CFB"/>
    <w:rsid w:val="00C5547F"/>
    <w:rsid w:val="00C76AC0"/>
    <w:rsid w:val="00C94AA9"/>
    <w:rsid w:val="00CC2084"/>
    <w:rsid w:val="00CC28C9"/>
    <w:rsid w:val="00CC4811"/>
    <w:rsid w:val="00CD48FE"/>
    <w:rsid w:val="00CF5BAF"/>
    <w:rsid w:val="00D032CD"/>
    <w:rsid w:val="00D039A8"/>
    <w:rsid w:val="00D304E0"/>
    <w:rsid w:val="00D40197"/>
    <w:rsid w:val="00D51B05"/>
    <w:rsid w:val="00D55736"/>
    <w:rsid w:val="00D7553C"/>
    <w:rsid w:val="00D7757A"/>
    <w:rsid w:val="00D80F00"/>
    <w:rsid w:val="00D87125"/>
    <w:rsid w:val="00D909C3"/>
    <w:rsid w:val="00D967B1"/>
    <w:rsid w:val="00DA17AF"/>
    <w:rsid w:val="00DB0C48"/>
    <w:rsid w:val="00DB1F78"/>
    <w:rsid w:val="00DB7C8C"/>
    <w:rsid w:val="00DC0E33"/>
    <w:rsid w:val="00DC2047"/>
    <w:rsid w:val="00DC69AA"/>
    <w:rsid w:val="00DD3602"/>
    <w:rsid w:val="00DE57D6"/>
    <w:rsid w:val="00DE7173"/>
    <w:rsid w:val="00E041A4"/>
    <w:rsid w:val="00E21BD0"/>
    <w:rsid w:val="00E3011C"/>
    <w:rsid w:val="00E41415"/>
    <w:rsid w:val="00E4149B"/>
    <w:rsid w:val="00E47108"/>
    <w:rsid w:val="00E60069"/>
    <w:rsid w:val="00E7187A"/>
    <w:rsid w:val="00E71900"/>
    <w:rsid w:val="00E72A5F"/>
    <w:rsid w:val="00E77CF2"/>
    <w:rsid w:val="00E81B08"/>
    <w:rsid w:val="00E907AB"/>
    <w:rsid w:val="00EA257A"/>
    <w:rsid w:val="00EA70EA"/>
    <w:rsid w:val="00EB29FB"/>
    <w:rsid w:val="00EE542E"/>
    <w:rsid w:val="00EF436C"/>
    <w:rsid w:val="00EF55DF"/>
    <w:rsid w:val="00EF66F9"/>
    <w:rsid w:val="00EF7A37"/>
    <w:rsid w:val="00F10596"/>
    <w:rsid w:val="00F14EC3"/>
    <w:rsid w:val="00F14F55"/>
    <w:rsid w:val="00F15783"/>
    <w:rsid w:val="00F168BE"/>
    <w:rsid w:val="00F20910"/>
    <w:rsid w:val="00F26409"/>
    <w:rsid w:val="00F363DD"/>
    <w:rsid w:val="00F44497"/>
    <w:rsid w:val="00F44BF7"/>
    <w:rsid w:val="00F54FB4"/>
    <w:rsid w:val="00F6518E"/>
    <w:rsid w:val="00F70510"/>
    <w:rsid w:val="00F7314F"/>
    <w:rsid w:val="00F75BD6"/>
    <w:rsid w:val="00FA1B2F"/>
    <w:rsid w:val="00FA38C4"/>
    <w:rsid w:val="00FB2B0C"/>
    <w:rsid w:val="00FB50CC"/>
    <w:rsid w:val="00FB599E"/>
    <w:rsid w:val="00FC01DB"/>
    <w:rsid w:val="00FC2D1D"/>
    <w:rsid w:val="00FC7366"/>
    <w:rsid w:val="00FD0DE8"/>
    <w:rsid w:val="00FE2F7F"/>
    <w:rsid w:val="00FE54C2"/>
    <w:rsid w:val="00FE6A63"/>
    <w:rsid w:val="00FF0434"/>
    <w:rsid w:val="00FF1761"/>
    <w:rsid w:val="00FF3202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C40D58-208F-4C06-905E-093CF585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098"/>
    <w:pPr>
      <w:suppressAutoHyphens/>
    </w:pPr>
    <w:rPr>
      <w:b/>
      <w:sz w:val="26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4"/>
      </w:numPr>
      <w:jc w:val="both"/>
      <w:outlineLvl w:val="0"/>
    </w:pPr>
    <w:rPr>
      <w:b w:val="0"/>
      <w:color w:val="FF000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4"/>
      </w:numPr>
      <w:outlineLvl w:val="1"/>
    </w:pPr>
    <w:rPr>
      <w:spacing w:val="6"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4"/>
      </w:numPr>
      <w:ind w:left="360"/>
      <w:jc w:val="both"/>
      <w:outlineLvl w:val="2"/>
    </w:pPr>
    <w:rPr>
      <w:rFonts w:ascii="Arial" w:hAnsi="Arial"/>
      <w:b w:val="0"/>
      <w:smallCap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4"/>
      </w:numPr>
      <w:outlineLvl w:val="3"/>
    </w:pPr>
    <w:rPr>
      <w:color w:val="FF0000"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4"/>
      </w:numPr>
      <w:jc w:val="both"/>
      <w:outlineLvl w:val="4"/>
    </w:pPr>
    <w:rPr>
      <w:color w:val="FF0000"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4"/>
      </w:numPr>
      <w:ind w:left="6372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4"/>
      </w:numPr>
      <w:jc w:val="both"/>
      <w:outlineLvl w:val="6"/>
    </w:pPr>
    <w:rPr>
      <w:rFonts w:ascii="Georgia" w:hAnsi="Georg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  <w:rPr>
      <w:rFonts w:ascii="Arial" w:hAnsi="Arial"/>
    </w:rPr>
  </w:style>
  <w:style w:type="paragraph" w:styleId="Lista">
    <w:name w:val="List"/>
    <w:basedOn w:val="Normalny"/>
    <w:semiHidden/>
    <w:pPr>
      <w:widowControl w:val="0"/>
      <w:ind w:left="283" w:hanging="283"/>
    </w:pPr>
    <w:rPr>
      <w:b w:val="0"/>
      <w:sz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/>
    </w:rPr>
  </w:style>
  <w:style w:type="paragraph" w:customStyle="1" w:styleId="Tekstpodstawowy31">
    <w:name w:val="Tekst podstawowy 31"/>
    <w:basedOn w:val="Normalny"/>
    <w:rPr>
      <w:rFonts w:ascii="Arial" w:hAnsi="Arial"/>
      <w:sz w:val="18"/>
    </w:rPr>
  </w:style>
  <w:style w:type="paragraph" w:customStyle="1" w:styleId="Lista21">
    <w:name w:val="Lista 21"/>
    <w:basedOn w:val="Normalny"/>
    <w:pPr>
      <w:ind w:left="566" w:hanging="283"/>
    </w:pPr>
    <w:rPr>
      <w:b w:val="0"/>
      <w:sz w:val="20"/>
    </w:rPr>
  </w:style>
  <w:style w:type="paragraph" w:customStyle="1" w:styleId="Lista31">
    <w:name w:val="Lista 31"/>
    <w:basedOn w:val="Normalny"/>
    <w:pPr>
      <w:widowControl w:val="0"/>
      <w:ind w:left="849" w:hanging="283"/>
    </w:pPr>
    <w:rPr>
      <w:b w:val="0"/>
      <w:sz w:val="20"/>
    </w:rPr>
  </w:style>
  <w:style w:type="paragraph" w:customStyle="1" w:styleId="Lista41">
    <w:name w:val="Lista 41"/>
    <w:basedOn w:val="Normalny"/>
    <w:pPr>
      <w:widowControl w:val="0"/>
      <w:ind w:left="1132" w:hanging="283"/>
    </w:pPr>
    <w:rPr>
      <w:b w:val="0"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1">
    <w:name w:val="Tekst podstawowy wcięty 31"/>
    <w:basedOn w:val="Normalny"/>
    <w:pPr>
      <w:ind w:left="360"/>
    </w:pPr>
    <w:rPr>
      <w:b w:val="0"/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left="993" w:hanging="284"/>
      <w:jc w:val="both"/>
    </w:pPr>
    <w:rPr>
      <w:b w:val="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pPr>
      <w:ind w:left="-142"/>
    </w:pPr>
    <w:rPr>
      <w:sz w:val="24"/>
    </w:rPr>
  </w:style>
  <w:style w:type="paragraph" w:customStyle="1" w:styleId="Listapunktowana31">
    <w:name w:val="Lista punktowana 31"/>
    <w:basedOn w:val="Normalny"/>
    <w:pPr>
      <w:ind w:left="567" w:hanging="283"/>
    </w:pPr>
    <w:rPr>
      <w:b w:val="0"/>
      <w:sz w:val="24"/>
    </w:rPr>
  </w:style>
  <w:style w:type="paragraph" w:customStyle="1" w:styleId="Tekstblokowy1">
    <w:name w:val="Tekst blokowy1"/>
    <w:basedOn w:val="Normalny"/>
    <w:pPr>
      <w:ind w:left="567" w:right="-142" w:hanging="207"/>
      <w:jc w:val="both"/>
    </w:pPr>
    <w:rPr>
      <w:b w:val="0"/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rFonts w:ascii="Arial" w:hAnsi="Arial"/>
      <w:b w:val="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Cs/>
    </w:rPr>
  </w:style>
  <w:style w:type="character" w:styleId="Odwoaniedelikatne">
    <w:name w:val="Subtle Reference"/>
    <w:uiPriority w:val="31"/>
    <w:qFormat/>
    <w:rsid w:val="00761B74"/>
    <w:rPr>
      <w:smallCaps/>
      <w:color w:val="C0504D"/>
      <w:u w:val="single"/>
    </w:rPr>
  </w:style>
  <w:style w:type="character" w:customStyle="1" w:styleId="StopkaZnak">
    <w:name w:val="Stopka Znak"/>
    <w:link w:val="Stopka"/>
    <w:uiPriority w:val="99"/>
    <w:rsid w:val="00186F48"/>
    <w:rPr>
      <w:b/>
      <w:sz w:val="2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3667"/>
    <w:rPr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3667"/>
    <w:rPr>
      <w:b/>
      <w:lang w:eastAsia="ar-SA"/>
    </w:rPr>
  </w:style>
  <w:style w:type="character" w:styleId="Odwoanieprzypisudolnego">
    <w:name w:val="footnote reference"/>
    <w:uiPriority w:val="99"/>
    <w:semiHidden/>
    <w:unhideWhenUsed/>
    <w:rsid w:val="00033667"/>
    <w:rPr>
      <w:vertAlign w:val="superscript"/>
    </w:rPr>
  </w:style>
  <w:style w:type="paragraph" w:customStyle="1" w:styleId="metryka">
    <w:name w:val="metryka"/>
    <w:basedOn w:val="Normalny"/>
    <w:rsid w:val="00F6518E"/>
    <w:pPr>
      <w:suppressAutoHyphens w:val="0"/>
      <w:spacing w:before="100" w:beforeAutospacing="1" w:after="100" w:afterAutospacing="1"/>
    </w:pPr>
    <w:rPr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F6518E"/>
    <w:rPr>
      <w:b/>
      <w:bCs/>
    </w:rPr>
  </w:style>
  <w:style w:type="paragraph" w:customStyle="1" w:styleId="podstawa-prawna">
    <w:name w:val="podstawa-prawna"/>
    <w:basedOn w:val="Normalny"/>
    <w:rsid w:val="00F6518E"/>
    <w:pPr>
      <w:suppressAutoHyphens w:val="0"/>
      <w:spacing w:before="100" w:beforeAutospacing="1" w:after="100" w:afterAutospacing="1"/>
    </w:pPr>
    <w:rPr>
      <w:b w:val="0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F6518E"/>
    <w:rPr>
      <w:color w:val="0000FF"/>
      <w:u w:val="single"/>
    </w:rPr>
  </w:style>
  <w:style w:type="paragraph" w:customStyle="1" w:styleId="paragraf">
    <w:name w:val="paragraf"/>
    <w:basedOn w:val="Normalny"/>
    <w:rsid w:val="00F6518E"/>
    <w:pPr>
      <w:suppressAutoHyphens w:val="0"/>
      <w:spacing w:before="100" w:beforeAutospacing="1" w:after="100" w:afterAutospacing="1"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1A0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01A0"/>
    <w:rPr>
      <w:b/>
      <w:lang w:eastAsia="ar-SA"/>
    </w:rPr>
  </w:style>
  <w:style w:type="character" w:styleId="Odwoanieprzypisukocowego">
    <w:name w:val="endnote reference"/>
    <w:uiPriority w:val="99"/>
    <w:semiHidden/>
    <w:unhideWhenUsed/>
    <w:rsid w:val="00B501A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F363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3DD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F363DD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8A74-874A-4DEF-9403-8555EA20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 E C Y Z J A  Nr</vt:lpstr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Y Z J A  Nr</dc:title>
  <dc:subject/>
  <dc:creator>KGP</dc:creator>
  <cp:keywords/>
  <cp:lastModifiedBy>Aleksandra Wiechetek</cp:lastModifiedBy>
  <cp:revision>2</cp:revision>
  <cp:lastPrinted>2022-04-11T09:14:00Z</cp:lastPrinted>
  <dcterms:created xsi:type="dcterms:W3CDTF">2022-04-14T12:25:00Z</dcterms:created>
  <dcterms:modified xsi:type="dcterms:W3CDTF">2022-04-14T12:25:00Z</dcterms:modified>
</cp:coreProperties>
</file>