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27B" w:rsidRPr="00670C2E" w:rsidRDefault="0063027B" w:rsidP="00CE0360">
      <w:pPr>
        <w:spacing w:after="0" w:line="240" w:lineRule="auto"/>
        <w:ind w:left="-567" w:right="-908"/>
        <w:jc w:val="center"/>
        <w:outlineLvl w:val="0"/>
        <w:rPr>
          <w:rFonts w:ascii="Times New Roman" w:hAnsi="Times New Roman"/>
          <w:b/>
          <w:sz w:val="24"/>
          <w:szCs w:val="24"/>
        </w:rPr>
      </w:pPr>
      <w:bookmarkStart w:id="0" w:name="_Hlk154748474"/>
      <w:r w:rsidRPr="00670C2E">
        <w:rPr>
          <w:rFonts w:ascii="Times New Roman" w:hAnsi="Times New Roman"/>
          <w:b/>
          <w:sz w:val="24"/>
          <w:szCs w:val="24"/>
        </w:rPr>
        <w:t>INFORMACJA POKONTROLNA – BIULETYN INFORMACJI PUBLICZNEJ</w:t>
      </w:r>
    </w:p>
    <w:p w:rsidR="00F3340F" w:rsidRPr="00670C2E" w:rsidRDefault="00F3340F" w:rsidP="00CE0360">
      <w:pPr>
        <w:spacing w:after="0" w:line="240" w:lineRule="auto"/>
        <w:ind w:left="709" w:firstLine="709"/>
        <w:outlineLvl w:val="0"/>
        <w:rPr>
          <w:rFonts w:ascii="Times New Roman" w:hAnsi="Times New Roman"/>
          <w:color w:val="000000" w:themeColor="text1"/>
          <w:sz w:val="20"/>
          <w:szCs w:val="20"/>
        </w:rPr>
      </w:pP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3403"/>
        <w:gridCol w:w="7087"/>
      </w:tblGrid>
      <w:tr w:rsidR="0063027B" w:rsidRPr="0063027B" w:rsidTr="007372B0">
        <w:tc>
          <w:tcPr>
            <w:tcW w:w="425" w:type="dxa"/>
            <w:tcMar>
              <w:left w:w="57" w:type="dxa"/>
              <w:right w:w="57" w:type="dxa"/>
            </w:tcMar>
            <w:vAlign w:val="center"/>
          </w:tcPr>
          <w:p w:rsidR="003A245F" w:rsidRPr="00670C2E" w:rsidRDefault="003A245F" w:rsidP="00670C2E">
            <w:pPr>
              <w:numPr>
                <w:ilvl w:val="0"/>
                <w:numId w:val="15"/>
              </w:numPr>
              <w:spacing w:before="120" w:after="120" w:line="240" w:lineRule="auto"/>
              <w:ind w:left="283" w:hanging="170"/>
              <w:jc w:val="center"/>
              <w:outlineLvl w:val="0"/>
              <w:rPr>
                <w:rFonts w:ascii="Times New Roman" w:hAnsi="Times New Roman"/>
                <w:b/>
                <w:color w:val="000000" w:themeColor="text1"/>
                <w:sz w:val="24"/>
                <w:szCs w:val="24"/>
              </w:rPr>
            </w:pPr>
          </w:p>
        </w:tc>
        <w:tc>
          <w:tcPr>
            <w:tcW w:w="3403" w:type="dxa"/>
            <w:shd w:val="clear" w:color="auto" w:fill="auto"/>
            <w:vAlign w:val="center"/>
          </w:tcPr>
          <w:p w:rsidR="003A245F" w:rsidRPr="0063027B" w:rsidRDefault="003A245F" w:rsidP="007372B0">
            <w:pPr>
              <w:spacing w:after="0"/>
              <w:ind w:left="-57" w:right="-113"/>
              <w:outlineLvl w:val="0"/>
              <w:rPr>
                <w:rFonts w:ascii="Times New Roman" w:hAnsi="Times New Roman"/>
                <w:b/>
                <w:color w:val="000000" w:themeColor="text1"/>
                <w:sz w:val="24"/>
                <w:szCs w:val="24"/>
              </w:rPr>
            </w:pPr>
            <w:r w:rsidRPr="0063027B">
              <w:rPr>
                <w:rFonts w:ascii="Times New Roman" w:hAnsi="Times New Roman"/>
                <w:b/>
                <w:color w:val="000000" w:themeColor="text1"/>
                <w:sz w:val="24"/>
                <w:szCs w:val="24"/>
              </w:rPr>
              <w:t>Temat kontroli</w:t>
            </w:r>
          </w:p>
        </w:tc>
        <w:tc>
          <w:tcPr>
            <w:tcW w:w="7087" w:type="dxa"/>
            <w:shd w:val="clear" w:color="auto" w:fill="auto"/>
          </w:tcPr>
          <w:p w:rsidR="003A245F" w:rsidRPr="0063027B" w:rsidRDefault="004E20E8" w:rsidP="00670C2E">
            <w:pPr>
              <w:spacing w:after="0" w:line="276" w:lineRule="auto"/>
              <w:ind w:left="-28" w:right="-113"/>
              <w:outlineLvl w:val="0"/>
              <w:rPr>
                <w:rFonts w:ascii="Times New Roman" w:hAnsi="Times New Roman"/>
                <w:color w:val="000000" w:themeColor="text1"/>
                <w:sz w:val="24"/>
                <w:szCs w:val="24"/>
              </w:rPr>
            </w:pPr>
            <w:r w:rsidRPr="007372B0">
              <w:rPr>
                <w:rFonts w:ascii="Times New Roman" w:hAnsi="Times New Roman"/>
                <w:color w:val="000000" w:themeColor="text1"/>
                <w:spacing w:val="-4"/>
                <w:sz w:val="24"/>
                <w:szCs w:val="24"/>
              </w:rPr>
              <w:t>Prawidłowość poniesienia wydatków na utworzenie oraz funkcjonowanie</w:t>
            </w:r>
            <w:r w:rsidRPr="0063027B">
              <w:rPr>
                <w:rFonts w:ascii="Times New Roman" w:hAnsi="Times New Roman"/>
                <w:color w:val="000000" w:themeColor="text1"/>
                <w:sz w:val="24"/>
                <w:szCs w:val="24"/>
              </w:rPr>
              <w:t xml:space="preserve"> posterunków Policji</w:t>
            </w:r>
            <w:r w:rsidR="0063027B">
              <w:rPr>
                <w:rFonts w:ascii="Times New Roman" w:hAnsi="Times New Roman"/>
                <w:color w:val="000000" w:themeColor="text1"/>
                <w:sz w:val="24"/>
                <w:szCs w:val="24"/>
              </w:rPr>
              <w:t>.</w:t>
            </w:r>
          </w:p>
        </w:tc>
      </w:tr>
      <w:tr w:rsidR="0063027B" w:rsidRPr="0063027B" w:rsidTr="007372B0">
        <w:tc>
          <w:tcPr>
            <w:tcW w:w="425" w:type="dxa"/>
            <w:tcMar>
              <w:left w:w="57" w:type="dxa"/>
              <w:right w:w="57" w:type="dxa"/>
            </w:tcMar>
            <w:vAlign w:val="center"/>
          </w:tcPr>
          <w:p w:rsidR="003A245F" w:rsidRPr="00670C2E" w:rsidRDefault="003A245F" w:rsidP="00670C2E">
            <w:pPr>
              <w:numPr>
                <w:ilvl w:val="0"/>
                <w:numId w:val="15"/>
              </w:numPr>
              <w:spacing w:before="120" w:after="120" w:line="240" w:lineRule="auto"/>
              <w:ind w:left="283" w:hanging="170"/>
              <w:jc w:val="center"/>
              <w:outlineLvl w:val="0"/>
              <w:rPr>
                <w:rFonts w:ascii="Times New Roman" w:hAnsi="Times New Roman"/>
                <w:b/>
                <w:color w:val="000000" w:themeColor="text1"/>
                <w:sz w:val="24"/>
                <w:szCs w:val="24"/>
              </w:rPr>
            </w:pPr>
          </w:p>
        </w:tc>
        <w:tc>
          <w:tcPr>
            <w:tcW w:w="3403" w:type="dxa"/>
            <w:shd w:val="clear" w:color="auto" w:fill="auto"/>
            <w:vAlign w:val="center"/>
          </w:tcPr>
          <w:p w:rsidR="003A245F" w:rsidRPr="0063027B" w:rsidRDefault="003A245F" w:rsidP="007372B0">
            <w:pPr>
              <w:spacing w:after="0"/>
              <w:ind w:left="-57" w:right="-113"/>
              <w:outlineLvl w:val="0"/>
              <w:rPr>
                <w:rFonts w:ascii="Times New Roman" w:hAnsi="Times New Roman"/>
                <w:b/>
                <w:color w:val="000000" w:themeColor="text1"/>
                <w:sz w:val="24"/>
                <w:szCs w:val="24"/>
              </w:rPr>
            </w:pPr>
            <w:r w:rsidRPr="0063027B">
              <w:rPr>
                <w:rFonts w:ascii="Times New Roman" w:hAnsi="Times New Roman"/>
                <w:b/>
                <w:color w:val="000000" w:themeColor="text1"/>
                <w:sz w:val="24"/>
                <w:szCs w:val="24"/>
              </w:rPr>
              <w:t>Podstawa prawna kontroli</w:t>
            </w:r>
          </w:p>
        </w:tc>
        <w:tc>
          <w:tcPr>
            <w:tcW w:w="7087" w:type="dxa"/>
            <w:shd w:val="clear" w:color="auto" w:fill="auto"/>
            <w:vAlign w:val="center"/>
          </w:tcPr>
          <w:p w:rsidR="003A245F" w:rsidRPr="00670C2E" w:rsidRDefault="005D007E" w:rsidP="00BA0BCC">
            <w:pPr>
              <w:spacing w:after="0" w:line="264" w:lineRule="auto"/>
              <w:ind w:left="-28" w:right="-113"/>
              <w:outlineLvl w:val="0"/>
              <w:rPr>
                <w:rFonts w:ascii="Times New Roman" w:hAnsi="Times New Roman"/>
                <w:color w:val="000000" w:themeColor="text1"/>
                <w:sz w:val="24"/>
                <w:szCs w:val="24"/>
              </w:rPr>
            </w:pPr>
            <w:r w:rsidRPr="00670C2E">
              <w:rPr>
                <w:rFonts w:ascii="Times New Roman" w:hAnsi="Times New Roman"/>
                <w:color w:val="000000" w:themeColor="text1"/>
                <w:sz w:val="24"/>
                <w:szCs w:val="24"/>
              </w:rPr>
              <w:t>U</w:t>
            </w:r>
            <w:r w:rsidR="008624E9" w:rsidRPr="00670C2E">
              <w:rPr>
                <w:rFonts w:ascii="Times New Roman" w:hAnsi="Times New Roman"/>
                <w:color w:val="000000" w:themeColor="text1"/>
                <w:sz w:val="24"/>
                <w:szCs w:val="24"/>
              </w:rPr>
              <w:t>staw</w:t>
            </w:r>
            <w:r w:rsidRPr="00670C2E">
              <w:rPr>
                <w:rFonts w:ascii="Times New Roman" w:hAnsi="Times New Roman"/>
                <w:color w:val="000000" w:themeColor="text1"/>
                <w:sz w:val="24"/>
                <w:szCs w:val="24"/>
              </w:rPr>
              <w:t>a</w:t>
            </w:r>
            <w:r w:rsidR="008624E9" w:rsidRPr="00670C2E">
              <w:rPr>
                <w:rFonts w:ascii="Times New Roman" w:hAnsi="Times New Roman"/>
                <w:color w:val="000000" w:themeColor="text1"/>
                <w:sz w:val="24"/>
                <w:szCs w:val="24"/>
              </w:rPr>
              <w:t xml:space="preserve"> z dnia 15</w:t>
            </w:r>
            <w:r w:rsidR="00670C2E" w:rsidRPr="00670C2E">
              <w:rPr>
                <w:rFonts w:ascii="Times New Roman" w:hAnsi="Times New Roman"/>
                <w:color w:val="000000" w:themeColor="text1"/>
                <w:sz w:val="24"/>
                <w:szCs w:val="24"/>
              </w:rPr>
              <w:t>.07.</w:t>
            </w:r>
            <w:r w:rsidR="008624E9" w:rsidRPr="00670C2E">
              <w:rPr>
                <w:rFonts w:ascii="Times New Roman" w:hAnsi="Times New Roman"/>
                <w:color w:val="000000" w:themeColor="text1"/>
                <w:sz w:val="24"/>
                <w:szCs w:val="24"/>
              </w:rPr>
              <w:t xml:space="preserve">2011 r. </w:t>
            </w:r>
            <w:r w:rsidR="008624E9" w:rsidRPr="00670C2E">
              <w:rPr>
                <w:rFonts w:ascii="Times New Roman" w:hAnsi="Times New Roman"/>
                <w:i/>
                <w:color w:val="000000" w:themeColor="text1"/>
                <w:sz w:val="24"/>
                <w:szCs w:val="24"/>
              </w:rPr>
              <w:t>o</w:t>
            </w:r>
            <w:r w:rsidR="0063027B" w:rsidRPr="00670C2E">
              <w:rPr>
                <w:rFonts w:ascii="Times New Roman" w:hAnsi="Times New Roman"/>
                <w:i/>
                <w:color w:val="000000" w:themeColor="text1"/>
                <w:sz w:val="24"/>
                <w:szCs w:val="24"/>
              </w:rPr>
              <w:t xml:space="preserve"> </w:t>
            </w:r>
            <w:r w:rsidR="008624E9" w:rsidRPr="00670C2E">
              <w:rPr>
                <w:rFonts w:ascii="Times New Roman" w:hAnsi="Times New Roman"/>
                <w:i/>
                <w:color w:val="000000" w:themeColor="text1"/>
                <w:sz w:val="24"/>
                <w:szCs w:val="24"/>
              </w:rPr>
              <w:t>kontroli w</w:t>
            </w:r>
            <w:r w:rsidR="0063027B" w:rsidRPr="00670C2E">
              <w:rPr>
                <w:rFonts w:ascii="Times New Roman" w:hAnsi="Times New Roman"/>
                <w:i/>
                <w:color w:val="000000" w:themeColor="text1"/>
                <w:sz w:val="24"/>
                <w:szCs w:val="24"/>
              </w:rPr>
              <w:t xml:space="preserve"> </w:t>
            </w:r>
            <w:r w:rsidR="008624E9" w:rsidRPr="00670C2E">
              <w:rPr>
                <w:rFonts w:ascii="Times New Roman" w:hAnsi="Times New Roman"/>
                <w:i/>
                <w:color w:val="000000" w:themeColor="text1"/>
                <w:sz w:val="24"/>
                <w:szCs w:val="24"/>
              </w:rPr>
              <w:t>administracji rządowej</w:t>
            </w:r>
            <w:r w:rsidR="0063027B" w:rsidRPr="00670C2E">
              <w:rPr>
                <w:rFonts w:ascii="Times New Roman" w:hAnsi="Times New Roman"/>
                <w:i/>
                <w:color w:val="000000" w:themeColor="text1"/>
                <w:sz w:val="24"/>
                <w:szCs w:val="24"/>
              </w:rPr>
              <w:t>.</w:t>
            </w:r>
          </w:p>
        </w:tc>
      </w:tr>
      <w:tr w:rsidR="0063027B" w:rsidRPr="0063027B" w:rsidTr="007372B0">
        <w:tc>
          <w:tcPr>
            <w:tcW w:w="425" w:type="dxa"/>
            <w:tcMar>
              <w:left w:w="57" w:type="dxa"/>
              <w:right w:w="57" w:type="dxa"/>
            </w:tcMar>
            <w:vAlign w:val="center"/>
          </w:tcPr>
          <w:p w:rsidR="003A245F" w:rsidRPr="00670C2E" w:rsidRDefault="003A245F" w:rsidP="00670C2E">
            <w:pPr>
              <w:numPr>
                <w:ilvl w:val="0"/>
                <w:numId w:val="15"/>
              </w:numPr>
              <w:spacing w:before="120" w:after="120" w:line="240" w:lineRule="auto"/>
              <w:ind w:left="283" w:hanging="170"/>
              <w:jc w:val="center"/>
              <w:outlineLvl w:val="0"/>
              <w:rPr>
                <w:rFonts w:ascii="Times New Roman" w:hAnsi="Times New Roman"/>
                <w:b/>
                <w:color w:val="000000" w:themeColor="text1"/>
                <w:sz w:val="24"/>
                <w:szCs w:val="24"/>
              </w:rPr>
            </w:pPr>
          </w:p>
        </w:tc>
        <w:tc>
          <w:tcPr>
            <w:tcW w:w="3403" w:type="dxa"/>
            <w:shd w:val="clear" w:color="auto" w:fill="auto"/>
            <w:vAlign w:val="center"/>
          </w:tcPr>
          <w:p w:rsidR="003A245F" w:rsidRPr="0063027B" w:rsidRDefault="003A245F" w:rsidP="007372B0">
            <w:pPr>
              <w:spacing w:after="0"/>
              <w:ind w:left="-57" w:right="-113"/>
              <w:outlineLvl w:val="0"/>
              <w:rPr>
                <w:rFonts w:ascii="Times New Roman" w:hAnsi="Times New Roman"/>
                <w:b/>
                <w:color w:val="000000" w:themeColor="text1"/>
                <w:sz w:val="24"/>
                <w:szCs w:val="24"/>
              </w:rPr>
            </w:pPr>
            <w:r w:rsidRPr="0063027B">
              <w:rPr>
                <w:rFonts w:ascii="Times New Roman" w:hAnsi="Times New Roman"/>
                <w:b/>
                <w:color w:val="000000" w:themeColor="text1"/>
                <w:sz w:val="24"/>
                <w:szCs w:val="24"/>
              </w:rPr>
              <w:t>Tryb kontroli</w:t>
            </w:r>
          </w:p>
        </w:tc>
        <w:tc>
          <w:tcPr>
            <w:tcW w:w="7087" w:type="dxa"/>
            <w:shd w:val="clear" w:color="auto" w:fill="auto"/>
            <w:vAlign w:val="center"/>
          </w:tcPr>
          <w:p w:rsidR="003A245F" w:rsidRPr="0063027B" w:rsidRDefault="00BA0BCC" w:rsidP="00BA0BCC">
            <w:pPr>
              <w:spacing w:after="0" w:line="264" w:lineRule="auto"/>
              <w:ind w:left="-28" w:right="-113"/>
              <w:outlineLvl w:val="0"/>
              <w:rPr>
                <w:rFonts w:ascii="Times New Roman" w:hAnsi="Times New Roman"/>
                <w:color w:val="000000" w:themeColor="text1"/>
                <w:sz w:val="24"/>
                <w:szCs w:val="24"/>
              </w:rPr>
            </w:pPr>
            <w:r>
              <w:rPr>
                <w:rFonts w:ascii="Times New Roman" w:hAnsi="Times New Roman"/>
                <w:color w:val="000000" w:themeColor="text1"/>
                <w:sz w:val="24"/>
                <w:szCs w:val="24"/>
              </w:rPr>
              <w:t>Z</w:t>
            </w:r>
            <w:r w:rsidR="005F3BBC" w:rsidRPr="0063027B">
              <w:rPr>
                <w:rFonts w:ascii="Times New Roman" w:hAnsi="Times New Roman"/>
                <w:color w:val="000000" w:themeColor="text1"/>
                <w:sz w:val="24"/>
                <w:szCs w:val="24"/>
              </w:rPr>
              <w:t>wykły</w:t>
            </w:r>
            <w:r>
              <w:rPr>
                <w:rFonts w:ascii="Times New Roman" w:hAnsi="Times New Roman"/>
                <w:color w:val="000000" w:themeColor="text1"/>
                <w:sz w:val="24"/>
                <w:szCs w:val="24"/>
              </w:rPr>
              <w:t>.</w:t>
            </w:r>
          </w:p>
        </w:tc>
      </w:tr>
      <w:tr w:rsidR="0063027B" w:rsidRPr="0063027B" w:rsidTr="007372B0">
        <w:tc>
          <w:tcPr>
            <w:tcW w:w="425" w:type="dxa"/>
            <w:tcMar>
              <w:left w:w="57" w:type="dxa"/>
              <w:right w:w="57" w:type="dxa"/>
            </w:tcMar>
            <w:vAlign w:val="center"/>
          </w:tcPr>
          <w:p w:rsidR="003A245F" w:rsidRPr="00670C2E" w:rsidRDefault="003A245F" w:rsidP="00670C2E">
            <w:pPr>
              <w:numPr>
                <w:ilvl w:val="0"/>
                <w:numId w:val="15"/>
              </w:numPr>
              <w:spacing w:before="120" w:after="120" w:line="240" w:lineRule="auto"/>
              <w:ind w:left="283" w:hanging="170"/>
              <w:jc w:val="center"/>
              <w:outlineLvl w:val="0"/>
              <w:rPr>
                <w:rFonts w:ascii="Times New Roman" w:hAnsi="Times New Roman"/>
                <w:b/>
                <w:color w:val="000000" w:themeColor="text1"/>
                <w:sz w:val="24"/>
                <w:szCs w:val="24"/>
              </w:rPr>
            </w:pPr>
          </w:p>
        </w:tc>
        <w:tc>
          <w:tcPr>
            <w:tcW w:w="3403" w:type="dxa"/>
            <w:shd w:val="clear" w:color="auto" w:fill="auto"/>
            <w:vAlign w:val="center"/>
          </w:tcPr>
          <w:p w:rsidR="003A245F" w:rsidRPr="0063027B" w:rsidRDefault="003A245F" w:rsidP="007372B0">
            <w:pPr>
              <w:spacing w:after="0"/>
              <w:ind w:left="-57" w:right="-113"/>
              <w:outlineLvl w:val="0"/>
              <w:rPr>
                <w:rFonts w:ascii="Times New Roman" w:hAnsi="Times New Roman"/>
                <w:b/>
                <w:color w:val="000000" w:themeColor="text1"/>
                <w:sz w:val="24"/>
                <w:szCs w:val="24"/>
              </w:rPr>
            </w:pPr>
            <w:r w:rsidRPr="0063027B">
              <w:rPr>
                <w:rFonts w:ascii="Times New Roman" w:hAnsi="Times New Roman"/>
                <w:b/>
                <w:color w:val="000000" w:themeColor="text1"/>
                <w:sz w:val="24"/>
                <w:szCs w:val="24"/>
              </w:rPr>
              <w:t>Termin kontroli</w:t>
            </w:r>
          </w:p>
        </w:tc>
        <w:tc>
          <w:tcPr>
            <w:tcW w:w="7087" w:type="dxa"/>
            <w:shd w:val="clear" w:color="auto" w:fill="auto"/>
            <w:vAlign w:val="center"/>
          </w:tcPr>
          <w:p w:rsidR="003A245F" w:rsidRPr="0063027B" w:rsidRDefault="005F3BBC" w:rsidP="00BA0BCC">
            <w:pPr>
              <w:spacing w:after="0" w:line="264" w:lineRule="auto"/>
              <w:ind w:left="-28" w:right="-113"/>
              <w:outlineLvl w:val="0"/>
              <w:rPr>
                <w:rFonts w:ascii="Times New Roman" w:hAnsi="Times New Roman"/>
                <w:color w:val="000000" w:themeColor="text1"/>
                <w:sz w:val="24"/>
                <w:szCs w:val="24"/>
              </w:rPr>
            </w:pPr>
            <w:r w:rsidRPr="0063027B">
              <w:rPr>
                <w:rFonts w:ascii="Times New Roman" w:hAnsi="Times New Roman"/>
                <w:color w:val="000000" w:themeColor="text1"/>
                <w:sz w:val="24"/>
                <w:szCs w:val="24"/>
              </w:rPr>
              <w:t>17</w:t>
            </w:r>
            <w:r w:rsidR="0063027B">
              <w:rPr>
                <w:rFonts w:ascii="Times New Roman" w:hAnsi="Times New Roman"/>
                <w:color w:val="000000" w:themeColor="text1"/>
                <w:sz w:val="24"/>
                <w:szCs w:val="24"/>
              </w:rPr>
              <w:t>.02.-</w:t>
            </w:r>
            <w:r w:rsidR="009D647C" w:rsidRPr="0063027B">
              <w:rPr>
                <w:rFonts w:ascii="Times New Roman" w:hAnsi="Times New Roman"/>
                <w:color w:val="000000" w:themeColor="text1"/>
                <w:sz w:val="24"/>
                <w:szCs w:val="24"/>
              </w:rPr>
              <w:t>21</w:t>
            </w:r>
            <w:r w:rsidR="0063027B">
              <w:rPr>
                <w:rFonts w:ascii="Times New Roman" w:hAnsi="Times New Roman"/>
                <w:color w:val="000000" w:themeColor="text1"/>
                <w:sz w:val="24"/>
                <w:szCs w:val="24"/>
              </w:rPr>
              <w:t>.03.</w:t>
            </w:r>
            <w:r w:rsidR="008624E9" w:rsidRPr="0063027B">
              <w:rPr>
                <w:rFonts w:ascii="Times New Roman" w:hAnsi="Times New Roman"/>
                <w:color w:val="000000" w:themeColor="text1"/>
                <w:sz w:val="24"/>
                <w:szCs w:val="24"/>
              </w:rPr>
              <w:t>202</w:t>
            </w:r>
            <w:r w:rsidR="009D647C" w:rsidRPr="0063027B">
              <w:rPr>
                <w:rFonts w:ascii="Times New Roman" w:hAnsi="Times New Roman"/>
                <w:color w:val="000000" w:themeColor="text1"/>
                <w:sz w:val="24"/>
                <w:szCs w:val="24"/>
              </w:rPr>
              <w:t>5</w:t>
            </w:r>
            <w:r w:rsidR="008624E9" w:rsidRPr="0063027B">
              <w:rPr>
                <w:rFonts w:ascii="Times New Roman" w:hAnsi="Times New Roman"/>
                <w:color w:val="000000" w:themeColor="text1"/>
                <w:sz w:val="24"/>
                <w:szCs w:val="24"/>
              </w:rPr>
              <w:t xml:space="preserve"> r.</w:t>
            </w:r>
          </w:p>
        </w:tc>
      </w:tr>
      <w:tr w:rsidR="0063027B" w:rsidRPr="0063027B" w:rsidTr="007372B0">
        <w:trPr>
          <w:trHeight w:val="50"/>
        </w:trPr>
        <w:tc>
          <w:tcPr>
            <w:tcW w:w="425" w:type="dxa"/>
            <w:tcMar>
              <w:left w:w="57" w:type="dxa"/>
              <w:right w:w="57" w:type="dxa"/>
            </w:tcMar>
            <w:vAlign w:val="center"/>
          </w:tcPr>
          <w:p w:rsidR="003A245F" w:rsidRPr="00670C2E" w:rsidRDefault="003A245F" w:rsidP="00670C2E">
            <w:pPr>
              <w:numPr>
                <w:ilvl w:val="0"/>
                <w:numId w:val="15"/>
              </w:numPr>
              <w:spacing w:before="120" w:after="120" w:line="240" w:lineRule="auto"/>
              <w:ind w:left="283" w:hanging="170"/>
              <w:jc w:val="center"/>
              <w:outlineLvl w:val="0"/>
              <w:rPr>
                <w:rFonts w:ascii="Times New Roman" w:hAnsi="Times New Roman"/>
                <w:b/>
                <w:color w:val="000000" w:themeColor="text1"/>
                <w:sz w:val="24"/>
                <w:szCs w:val="24"/>
              </w:rPr>
            </w:pPr>
          </w:p>
        </w:tc>
        <w:tc>
          <w:tcPr>
            <w:tcW w:w="3403" w:type="dxa"/>
            <w:shd w:val="clear" w:color="auto" w:fill="auto"/>
            <w:vAlign w:val="center"/>
          </w:tcPr>
          <w:p w:rsidR="003A245F" w:rsidRPr="007372B0" w:rsidRDefault="003A245F" w:rsidP="007372B0">
            <w:pPr>
              <w:spacing w:after="0" w:line="240" w:lineRule="auto"/>
              <w:ind w:left="-57" w:right="-113"/>
              <w:outlineLvl w:val="0"/>
              <w:rPr>
                <w:rFonts w:ascii="Times New Roman" w:hAnsi="Times New Roman"/>
                <w:b/>
                <w:color w:val="000000" w:themeColor="text1"/>
                <w:spacing w:val="-6"/>
                <w:sz w:val="24"/>
                <w:szCs w:val="24"/>
              </w:rPr>
            </w:pPr>
            <w:r w:rsidRPr="007372B0">
              <w:rPr>
                <w:rFonts w:ascii="Times New Roman" w:hAnsi="Times New Roman"/>
                <w:b/>
                <w:color w:val="000000" w:themeColor="text1"/>
                <w:spacing w:val="-6"/>
                <w:sz w:val="24"/>
                <w:szCs w:val="24"/>
              </w:rPr>
              <w:t xml:space="preserve">Jednostka/komórka kontrolowana </w:t>
            </w:r>
          </w:p>
        </w:tc>
        <w:tc>
          <w:tcPr>
            <w:tcW w:w="7087" w:type="dxa"/>
            <w:shd w:val="clear" w:color="auto" w:fill="auto"/>
            <w:vAlign w:val="center"/>
          </w:tcPr>
          <w:p w:rsidR="003A245F" w:rsidRPr="0063027B" w:rsidRDefault="009D647C" w:rsidP="00BA0BCC">
            <w:pPr>
              <w:spacing w:after="0" w:line="264" w:lineRule="auto"/>
              <w:ind w:left="-28" w:right="-113"/>
              <w:outlineLvl w:val="0"/>
              <w:rPr>
                <w:rFonts w:ascii="Times New Roman" w:hAnsi="Times New Roman"/>
                <w:color w:val="000000" w:themeColor="text1"/>
                <w:sz w:val="24"/>
                <w:szCs w:val="24"/>
              </w:rPr>
            </w:pPr>
            <w:r w:rsidRPr="0063027B">
              <w:rPr>
                <w:rFonts w:ascii="Times New Roman" w:hAnsi="Times New Roman"/>
                <w:color w:val="000000" w:themeColor="text1"/>
                <w:sz w:val="24"/>
                <w:szCs w:val="24"/>
              </w:rPr>
              <w:t>K</w:t>
            </w:r>
            <w:r w:rsidR="00670C2E">
              <w:rPr>
                <w:rFonts w:ascii="Times New Roman" w:hAnsi="Times New Roman"/>
                <w:color w:val="000000" w:themeColor="text1"/>
                <w:sz w:val="24"/>
                <w:szCs w:val="24"/>
              </w:rPr>
              <w:t xml:space="preserve">omenda </w:t>
            </w:r>
            <w:r w:rsidRPr="0063027B">
              <w:rPr>
                <w:rFonts w:ascii="Times New Roman" w:hAnsi="Times New Roman"/>
                <w:color w:val="000000" w:themeColor="text1"/>
                <w:sz w:val="24"/>
                <w:szCs w:val="24"/>
              </w:rPr>
              <w:t>W</w:t>
            </w:r>
            <w:r w:rsidR="00670C2E">
              <w:rPr>
                <w:rFonts w:ascii="Times New Roman" w:hAnsi="Times New Roman"/>
                <w:color w:val="000000" w:themeColor="text1"/>
                <w:sz w:val="24"/>
                <w:szCs w:val="24"/>
              </w:rPr>
              <w:t xml:space="preserve">ojewódzka </w:t>
            </w:r>
            <w:r w:rsidRPr="0063027B">
              <w:rPr>
                <w:rFonts w:ascii="Times New Roman" w:hAnsi="Times New Roman"/>
                <w:color w:val="000000" w:themeColor="text1"/>
                <w:sz w:val="24"/>
                <w:szCs w:val="24"/>
              </w:rPr>
              <w:t>P</w:t>
            </w:r>
            <w:r w:rsidR="00670C2E">
              <w:rPr>
                <w:rFonts w:ascii="Times New Roman" w:hAnsi="Times New Roman"/>
                <w:color w:val="000000" w:themeColor="text1"/>
                <w:sz w:val="24"/>
                <w:szCs w:val="24"/>
              </w:rPr>
              <w:t>olicji</w:t>
            </w:r>
            <w:r w:rsidRPr="0063027B">
              <w:rPr>
                <w:rFonts w:ascii="Times New Roman" w:hAnsi="Times New Roman"/>
                <w:color w:val="000000" w:themeColor="text1"/>
                <w:sz w:val="24"/>
                <w:szCs w:val="24"/>
              </w:rPr>
              <w:t xml:space="preserve"> w Gdańsku</w:t>
            </w:r>
          </w:p>
        </w:tc>
      </w:tr>
      <w:tr w:rsidR="0063027B" w:rsidRPr="0063027B" w:rsidTr="007372B0">
        <w:tc>
          <w:tcPr>
            <w:tcW w:w="425" w:type="dxa"/>
            <w:tcMar>
              <w:left w:w="57" w:type="dxa"/>
              <w:right w:w="57" w:type="dxa"/>
            </w:tcMar>
            <w:vAlign w:val="center"/>
          </w:tcPr>
          <w:p w:rsidR="003A245F" w:rsidRPr="00670C2E" w:rsidRDefault="003A245F" w:rsidP="00670C2E">
            <w:pPr>
              <w:numPr>
                <w:ilvl w:val="0"/>
                <w:numId w:val="15"/>
              </w:numPr>
              <w:spacing w:before="120" w:after="120" w:line="240" w:lineRule="auto"/>
              <w:ind w:left="283" w:hanging="170"/>
              <w:jc w:val="center"/>
              <w:rPr>
                <w:rFonts w:ascii="Times New Roman" w:hAnsi="Times New Roman"/>
                <w:b/>
                <w:color w:val="000000" w:themeColor="text1"/>
                <w:sz w:val="24"/>
                <w:szCs w:val="24"/>
              </w:rPr>
            </w:pPr>
          </w:p>
        </w:tc>
        <w:tc>
          <w:tcPr>
            <w:tcW w:w="3403" w:type="dxa"/>
            <w:shd w:val="clear" w:color="auto" w:fill="auto"/>
            <w:vAlign w:val="center"/>
          </w:tcPr>
          <w:p w:rsidR="003A245F" w:rsidRPr="0063027B" w:rsidRDefault="003A245F" w:rsidP="007372B0">
            <w:pPr>
              <w:spacing w:after="0" w:line="240" w:lineRule="auto"/>
              <w:ind w:left="-57" w:right="-113"/>
              <w:rPr>
                <w:rFonts w:ascii="Times New Roman" w:hAnsi="Times New Roman"/>
                <w:b/>
                <w:color w:val="000000" w:themeColor="text1"/>
                <w:sz w:val="24"/>
                <w:szCs w:val="24"/>
              </w:rPr>
            </w:pPr>
            <w:r w:rsidRPr="0063027B">
              <w:rPr>
                <w:rFonts w:ascii="Times New Roman" w:hAnsi="Times New Roman"/>
                <w:b/>
                <w:color w:val="000000" w:themeColor="text1"/>
                <w:sz w:val="24"/>
                <w:szCs w:val="24"/>
              </w:rPr>
              <w:t>Zakres kontroli</w:t>
            </w:r>
          </w:p>
        </w:tc>
        <w:tc>
          <w:tcPr>
            <w:tcW w:w="7087" w:type="dxa"/>
            <w:shd w:val="clear" w:color="auto" w:fill="auto"/>
          </w:tcPr>
          <w:p w:rsidR="009D647C" w:rsidRPr="00670C2E" w:rsidRDefault="009D647C" w:rsidP="003B7B24">
            <w:pPr>
              <w:pStyle w:val="Akapitzlist"/>
              <w:numPr>
                <w:ilvl w:val="0"/>
                <w:numId w:val="25"/>
              </w:numPr>
              <w:suppressAutoHyphens/>
              <w:spacing w:after="0" w:line="276" w:lineRule="auto"/>
              <w:ind w:left="113" w:right="-113" w:hanging="170"/>
              <w:rPr>
                <w:rFonts w:ascii="Times New Roman" w:hAnsi="Times New Roman"/>
                <w:color w:val="000000" w:themeColor="text1"/>
                <w:sz w:val="24"/>
                <w:szCs w:val="24"/>
                <w:lang w:eastAsia="zh-CN"/>
              </w:rPr>
            </w:pPr>
            <w:bookmarkStart w:id="1" w:name="_Hlk190153448"/>
            <w:r w:rsidRPr="00670C2E">
              <w:rPr>
                <w:rFonts w:ascii="Times New Roman" w:hAnsi="Times New Roman"/>
                <w:color w:val="000000" w:themeColor="text1"/>
                <w:sz w:val="24"/>
                <w:szCs w:val="24"/>
              </w:rPr>
              <w:t xml:space="preserve">Realizacja wybranych wydatków publicznych na zadania związane </w:t>
            </w:r>
            <w:r w:rsidR="00E7219B" w:rsidRPr="00670C2E">
              <w:rPr>
                <w:rFonts w:ascii="Times New Roman" w:hAnsi="Times New Roman"/>
                <w:color w:val="000000" w:themeColor="text1"/>
                <w:sz w:val="24"/>
                <w:szCs w:val="24"/>
              </w:rPr>
              <w:br/>
            </w:r>
            <w:r w:rsidRPr="00670C2E">
              <w:rPr>
                <w:rFonts w:ascii="Times New Roman" w:hAnsi="Times New Roman"/>
                <w:color w:val="000000" w:themeColor="text1"/>
                <w:sz w:val="24"/>
                <w:szCs w:val="24"/>
              </w:rPr>
              <w:t>z utworzeniem i</w:t>
            </w:r>
            <w:r w:rsidR="0063027B" w:rsidRPr="00670C2E">
              <w:rPr>
                <w:rFonts w:ascii="Times New Roman" w:hAnsi="Times New Roman"/>
                <w:color w:val="000000" w:themeColor="text1"/>
                <w:sz w:val="24"/>
                <w:szCs w:val="24"/>
              </w:rPr>
              <w:t xml:space="preserve"> </w:t>
            </w:r>
            <w:r w:rsidRPr="00670C2E">
              <w:rPr>
                <w:rFonts w:ascii="Times New Roman" w:hAnsi="Times New Roman"/>
                <w:color w:val="000000" w:themeColor="text1"/>
                <w:sz w:val="24"/>
                <w:szCs w:val="24"/>
              </w:rPr>
              <w:t>funkcjonowaniem posterunków Policji.</w:t>
            </w:r>
            <w:bookmarkEnd w:id="1"/>
          </w:p>
          <w:p w:rsidR="00635AEC" w:rsidRPr="00670C2E" w:rsidRDefault="009D647C" w:rsidP="003B7B24">
            <w:pPr>
              <w:pStyle w:val="Akapitzlist"/>
              <w:numPr>
                <w:ilvl w:val="0"/>
                <w:numId w:val="25"/>
              </w:numPr>
              <w:suppressAutoHyphens/>
              <w:spacing w:after="0" w:line="276" w:lineRule="auto"/>
              <w:ind w:left="113" w:right="-113" w:hanging="170"/>
              <w:rPr>
                <w:rFonts w:ascii="Times New Roman" w:hAnsi="Times New Roman"/>
                <w:color w:val="000000" w:themeColor="text1"/>
                <w:sz w:val="24"/>
                <w:szCs w:val="24"/>
                <w:lang w:eastAsia="zh-CN"/>
              </w:rPr>
            </w:pPr>
            <w:r w:rsidRPr="00670C2E">
              <w:rPr>
                <w:rFonts w:ascii="Times New Roman" w:hAnsi="Times New Roman"/>
                <w:color w:val="000000" w:themeColor="text1"/>
                <w:sz w:val="24"/>
                <w:szCs w:val="24"/>
                <w:lang w:eastAsia="zh-CN"/>
              </w:rPr>
              <w:t>Prawidłowość udokumentowania i zaewidencjonowania wybranych wydatków poniesionych na funkcjonowanie posterunków Policji.</w:t>
            </w:r>
          </w:p>
        </w:tc>
      </w:tr>
      <w:tr w:rsidR="0063027B" w:rsidRPr="0063027B" w:rsidTr="007372B0">
        <w:tc>
          <w:tcPr>
            <w:tcW w:w="425" w:type="dxa"/>
            <w:tcMar>
              <w:left w:w="57" w:type="dxa"/>
              <w:right w:w="57" w:type="dxa"/>
            </w:tcMar>
            <w:vAlign w:val="center"/>
          </w:tcPr>
          <w:p w:rsidR="003A245F" w:rsidRPr="00670C2E" w:rsidRDefault="003A245F" w:rsidP="00670C2E">
            <w:pPr>
              <w:numPr>
                <w:ilvl w:val="0"/>
                <w:numId w:val="15"/>
              </w:numPr>
              <w:spacing w:before="120" w:after="120" w:line="240" w:lineRule="auto"/>
              <w:ind w:left="283" w:hanging="170"/>
              <w:jc w:val="center"/>
              <w:rPr>
                <w:rFonts w:ascii="Times New Roman" w:hAnsi="Times New Roman"/>
                <w:b/>
                <w:color w:val="000000" w:themeColor="text1"/>
                <w:sz w:val="24"/>
                <w:szCs w:val="24"/>
              </w:rPr>
            </w:pPr>
          </w:p>
        </w:tc>
        <w:tc>
          <w:tcPr>
            <w:tcW w:w="3403" w:type="dxa"/>
            <w:shd w:val="clear" w:color="auto" w:fill="auto"/>
            <w:vAlign w:val="center"/>
          </w:tcPr>
          <w:p w:rsidR="003A245F" w:rsidRPr="007372B0" w:rsidRDefault="003A245F" w:rsidP="007372B0">
            <w:pPr>
              <w:spacing w:after="0" w:line="240" w:lineRule="auto"/>
              <w:ind w:left="-57" w:right="-113"/>
              <w:rPr>
                <w:rFonts w:ascii="Times New Roman" w:hAnsi="Times New Roman"/>
                <w:b/>
                <w:color w:val="000000" w:themeColor="text1"/>
                <w:spacing w:val="-6"/>
                <w:sz w:val="24"/>
                <w:szCs w:val="24"/>
              </w:rPr>
            </w:pPr>
            <w:r w:rsidRPr="007372B0">
              <w:rPr>
                <w:rFonts w:ascii="Times New Roman" w:hAnsi="Times New Roman"/>
                <w:b/>
                <w:color w:val="000000" w:themeColor="text1"/>
                <w:spacing w:val="-6"/>
                <w:sz w:val="24"/>
                <w:szCs w:val="24"/>
              </w:rPr>
              <w:t>Ocena kontrol</w:t>
            </w:r>
            <w:r w:rsidR="002E4BD5" w:rsidRPr="007372B0">
              <w:rPr>
                <w:rFonts w:ascii="Times New Roman" w:hAnsi="Times New Roman"/>
                <w:b/>
                <w:color w:val="000000" w:themeColor="text1"/>
                <w:spacing w:val="-6"/>
                <w:sz w:val="24"/>
                <w:szCs w:val="24"/>
              </w:rPr>
              <w:t>owanej działalności</w:t>
            </w:r>
          </w:p>
        </w:tc>
        <w:tc>
          <w:tcPr>
            <w:tcW w:w="7087" w:type="dxa"/>
            <w:shd w:val="clear" w:color="auto" w:fill="auto"/>
            <w:vAlign w:val="center"/>
          </w:tcPr>
          <w:p w:rsidR="003A245F" w:rsidRPr="0063027B" w:rsidRDefault="008E7430" w:rsidP="003B7B24">
            <w:pPr>
              <w:spacing w:after="0" w:line="264" w:lineRule="auto"/>
              <w:ind w:left="-28" w:right="-113"/>
              <w:outlineLvl w:val="0"/>
              <w:rPr>
                <w:rFonts w:ascii="Times New Roman" w:hAnsi="Times New Roman"/>
                <w:color w:val="000000" w:themeColor="text1"/>
                <w:sz w:val="24"/>
                <w:szCs w:val="24"/>
              </w:rPr>
            </w:pPr>
            <w:r w:rsidRPr="0063027B">
              <w:rPr>
                <w:rFonts w:ascii="Times New Roman" w:hAnsi="Times New Roman"/>
                <w:color w:val="000000" w:themeColor="text1"/>
                <w:sz w:val="24"/>
                <w:szCs w:val="24"/>
              </w:rPr>
              <w:t xml:space="preserve">Pozytywna </w:t>
            </w:r>
            <w:r w:rsidR="00786DC6">
              <w:rPr>
                <w:rFonts w:ascii="Times New Roman" w:hAnsi="Times New Roman"/>
                <w:color w:val="000000" w:themeColor="text1"/>
                <w:sz w:val="24"/>
                <w:szCs w:val="24"/>
              </w:rPr>
              <w:t xml:space="preserve">pomimo stwierdzonych </w:t>
            </w:r>
            <w:r w:rsidRPr="0063027B">
              <w:rPr>
                <w:rFonts w:ascii="Times New Roman" w:hAnsi="Times New Roman"/>
                <w:color w:val="000000" w:themeColor="text1"/>
                <w:sz w:val="24"/>
                <w:szCs w:val="24"/>
              </w:rPr>
              <w:t>nieprawidłowoś</w:t>
            </w:r>
            <w:r w:rsidR="00786DC6">
              <w:rPr>
                <w:rFonts w:ascii="Times New Roman" w:hAnsi="Times New Roman"/>
                <w:color w:val="000000" w:themeColor="text1"/>
                <w:sz w:val="24"/>
                <w:szCs w:val="24"/>
              </w:rPr>
              <w:t xml:space="preserve">ci. </w:t>
            </w:r>
          </w:p>
        </w:tc>
      </w:tr>
      <w:tr w:rsidR="0063027B" w:rsidRPr="0063027B" w:rsidTr="007372B0">
        <w:tc>
          <w:tcPr>
            <w:tcW w:w="425" w:type="dxa"/>
            <w:tcMar>
              <w:left w:w="57" w:type="dxa"/>
              <w:right w:w="57" w:type="dxa"/>
            </w:tcMar>
            <w:vAlign w:val="center"/>
          </w:tcPr>
          <w:p w:rsidR="003A245F" w:rsidRPr="00670C2E" w:rsidRDefault="003A245F" w:rsidP="00670C2E">
            <w:pPr>
              <w:numPr>
                <w:ilvl w:val="0"/>
                <w:numId w:val="15"/>
              </w:numPr>
              <w:spacing w:before="120" w:after="120" w:line="240" w:lineRule="auto"/>
              <w:ind w:left="283" w:hanging="170"/>
              <w:jc w:val="center"/>
              <w:rPr>
                <w:rFonts w:ascii="Times New Roman" w:hAnsi="Times New Roman"/>
                <w:b/>
                <w:color w:val="000000" w:themeColor="text1"/>
                <w:sz w:val="24"/>
                <w:szCs w:val="24"/>
              </w:rPr>
            </w:pPr>
          </w:p>
        </w:tc>
        <w:tc>
          <w:tcPr>
            <w:tcW w:w="3403" w:type="dxa"/>
            <w:shd w:val="clear" w:color="auto" w:fill="auto"/>
            <w:vAlign w:val="center"/>
          </w:tcPr>
          <w:p w:rsidR="003A245F" w:rsidRPr="0063027B" w:rsidRDefault="003A245F" w:rsidP="007372B0">
            <w:pPr>
              <w:spacing w:after="0" w:line="240" w:lineRule="auto"/>
              <w:ind w:left="-57" w:right="-113"/>
              <w:rPr>
                <w:rFonts w:ascii="Times New Roman" w:hAnsi="Times New Roman"/>
                <w:b/>
                <w:color w:val="000000" w:themeColor="text1"/>
                <w:sz w:val="24"/>
                <w:szCs w:val="24"/>
              </w:rPr>
            </w:pPr>
            <w:r w:rsidRPr="0063027B">
              <w:rPr>
                <w:rFonts w:ascii="Times New Roman" w:hAnsi="Times New Roman"/>
                <w:b/>
                <w:color w:val="000000" w:themeColor="text1"/>
                <w:sz w:val="24"/>
                <w:szCs w:val="24"/>
              </w:rPr>
              <w:t>Ujawnione nieprawidłowości/uchybienia</w:t>
            </w:r>
          </w:p>
        </w:tc>
        <w:tc>
          <w:tcPr>
            <w:tcW w:w="7087" w:type="dxa"/>
            <w:shd w:val="clear" w:color="auto" w:fill="auto"/>
          </w:tcPr>
          <w:p w:rsidR="004E3DAA" w:rsidRPr="00670C2E" w:rsidRDefault="00BA0BCC" w:rsidP="003B7B24">
            <w:pPr>
              <w:pStyle w:val="Akapitzlist"/>
              <w:numPr>
                <w:ilvl w:val="0"/>
                <w:numId w:val="26"/>
              </w:numPr>
              <w:suppressAutoHyphens/>
              <w:spacing w:after="0" w:line="274" w:lineRule="auto"/>
              <w:ind w:left="113" w:right="-113" w:hanging="170"/>
              <w:rPr>
                <w:rFonts w:ascii="Times New Roman" w:hAnsi="Times New Roman"/>
                <w:color w:val="000000" w:themeColor="text1"/>
                <w:sz w:val="24"/>
                <w:szCs w:val="24"/>
              </w:rPr>
            </w:pPr>
            <w:r w:rsidRPr="00670C2E">
              <w:rPr>
                <w:rFonts w:ascii="Times New Roman" w:hAnsi="Times New Roman"/>
                <w:bCs/>
                <w:color w:val="000000" w:themeColor="text1"/>
                <w:sz w:val="24"/>
                <w:szCs w:val="24"/>
              </w:rPr>
              <w:t>N</w:t>
            </w:r>
            <w:r w:rsidR="004E3DAA" w:rsidRPr="00670C2E">
              <w:rPr>
                <w:rFonts w:ascii="Times New Roman" w:hAnsi="Times New Roman"/>
                <w:bCs/>
                <w:color w:val="000000" w:themeColor="text1"/>
                <w:sz w:val="24"/>
                <w:szCs w:val="24"/>
              </w:rPr>
              <w:t>ieprawidłowość, polegając</w:t>
            </w:r>
            <w:r w:rsidRPr="00670C2E">
              <w:rPr>
                <w:rFonts w:ascii="Times New Roman" w:hAnsi="Times New Roman"/>
                <w:bCs/>
                <w:color w:val="000000" w:themeColor="text1"/>
                <w:sz w:val="24"/>
                <w:szCs w:val="24"/>
              </w:rPr>
              <w:t>a</w:t>
            </w:r>
            <w:r w:rsidR="004E3DAA" w:rsidRPr="00670C2E">
              <w:rPr>
                <w:rFonts w:ascii="Times New Roman" w:hAnsi="Times New Roman"/>
                <w:bCs/>
                <w:color w:val="000000" w:themeColor="text1"/>
                <w:sz w:val="24"/>
                <w:szCs w:val="24"/>
              </w:rPr>
              <w:t xml:space="preserve"> na naruszeniu zasady memoriału, określonej w</w:t>
            </w:r>
            <w:r w:rsidR="004E3DAA" w:rsidRPr="00670C2E">
              <w:rPr>
                <w:rFonts w:ascii="Times New Roman" w:hAnsi="Times New Roman"/>
                <w:bCs/>
                <w:color w:val="000000" w:themeColor="text1"/>
                <w:sz w:val="16"/>
                <w:szCs w:val="16"/>
              </w:rPr>
              <w:t xml:space="preserve"> </w:t>
            </w:r>
            <w:r w:rsidR="004E3DAA" w:rsidRPr="00670C2E">
              <w:rPr>
                <w:rFonts w:ascii="Times New Roman" w:hAnsi="Times New Roman"/>
                <w:bCs/>
                <w:color w:val="000000" w:themeColor="text1"/>
                <w:sz w:val="24"/>
                <w:szCs w:val="24"/>
              </w:rPr>
              <w:t>art.</w:t>
            </w:r>
            <w:r w:rsidR="004E3DAA" w:rsidRPr="00670C2E">
              <w:rPr>
                <w:rFonts w:ascii="Times New Roman" w:hAnsi="Times New Roman"/>
                <w:bCs/>
                <w:color w:val="000000" w:themeColor="text1"/>
                <w:sz w:val="16"/>
                <w:szCs w:val="16"/>
              </w:rPr>
              <w:t xml:space="preserve"> </w:t>
            </w:r>
            <w:r w:rsidR="004E3DAA" w:rsidRPr="00670C2E">
              <w:rPr>
                <w:rFonts w:ascii="Times New Roman" w:hAnsi="Times New Roman"/>
                <w:bCs/>
                <w:color w:val="000000" w:themeColor="text1"/>
                <w:sz w:val="24"/>
                <w:szCs w:val="24"/>
              </w:rPr>
              <w:t>6</w:t>
            </w:r>
            <w:r w:rsidR="004E3DAA" w:rsidRPr="00670C2E">
              <w:rPr>
                <w:rFonts w:ascii="Times New Roman" w:hAnsi="Times New Roman"/>
                <w:bCs/>
                <w:color w:val="000000" w:themeColor="text1"/>
                <w:sz w:val="16"/>
                <w:szCs w:val="16"/>
              </w:rPr>
              <w:t xml:space="preserve"> </w:t>
            </w:r>
            <w:r w:rsidR="004E3DAA" w:rsidRPr="00670C2E">
              <w:rPr>
                <w:rFonts w:ascii="Times New Roman" w:hAnsi="Times New Roman"/>
                <w:bCs/>
                <w:color w:val="000000" w:themeColor="text1"/>
                <w:sz w:val="24"/>
                <w:szCs w:val="24"/>
              </w:rPr>
              <w:t>ust.</w:t>
            </w:r>
            <w:r w:rsidR="004E3DAA" w:rsidRPr="00670C2E">
              <w:rPr>
                <w:rFonts w:ascii="Times New Roman" w:hAnsi="Times New Roman"/>
                <w:bCs/>
                <w:color w:val="000000" w:themeColor="text1"/>
                <w:sz w:val="16"/>
                <w:szCs w:val="16"/>
              </w:rPr>
              <w:t xml:space="preserve"> </w:t>
            </w:r>
            <w:r w:rsidR="004E3DAA" w:rsidRPr="00670C2E">
              <w:rPr>
                <w:rFonts w:ascii="Times New Roman" w:hAnsi="Times New Roman"/>
                <w:bCs/>
                <w:color w:val="000000" w:themeColor="text1"/>
                <w:sz w:val="24"/>
                <w:szCs w:val="24"/>
              </w:rPr>
              <w:t>1</w:t>
            </w:r>
            <w:r w:rsidR="004E3DAA" w:rsidRPr="00670C2E">
              <w:rPr>
                <w:rFonts w:ascii="Times New Roman" w:hAnsi="Times New Roman"/>
                <w:bCs/>
                <w:color w:val="000000" w:themeColor="text1"/>
                <w:sz w:val="16"/>
                <w:szCs w:val="16"/>
              </w:rPr>
              <w:t xml:space="preserve"> </w:t>
            </w:r>
            <w:r w:rsidR="004E3DAA" w:rsidRPr="00670C2E">
              <w:rPr>
                <w:rFonts w:ascii="Times New Roman" w:hAnsi="Times New Roman"/>
                <w:bCs/>
                <w:color w:val="000000" w:themeColor="text1"/>
                <w:sz w:val="24"/>
                <w:szCs w:val="24"/>
              </w:rPr>
              <w:t xml:space="preserve">ustawy </w:t>
            </w:r>
            <w:r w:rsidR="004E3DAA" w:rsidRPr="00670C2E">
              <w:rPr>
                <w:rFonts w:ascii="Times New Roman" w:hAnsi="Times New Roman"/>
                <w:bCs/>
                <w:i/>
                <w:color w:val="000000" w:themeColor="text1"/>
                <w:sz w:val="24"/>
                <w:szCs w:val="24"/>
              </w:rPr>
              <w:t>o rachunkowości</w:t>
            </w:r>
            <w:r w:rsidR="004E3DAA" w:rsidRPr="00670C2E">
              <w:rPr>
                <w:rFonts w:ascii="Times New Roman" w:hAnsi="Times New Roman"/>
                <w:bCs/>
                <w:color w:val="000000" w:themeColor="text1"/>
                <w:sz w:val="24"/>
                <w:szCs w:val="24"/>
              </w:rPr>
              <w:t xml:space="preserve">, w przypadku zaksięgowania w 2024 r. </w:t>
            </w:r>
            <w:r w:rsidR="004E3DAA" w:rsidRPr="00670C2E">
              <w:rPr>
                <w:rFonts w:ascii="Times New Roman" w:hAnsi="Times New Roman"/>
                <w:color w:val="000000" w:themeColor="text1"/>
                <w:sz w:val="24"/>
                <w:szCs w:val="24"/>
              </w:rPr>
              <w:t>wydatku z tytułu rekompensaty pieniężnej wypłacanej funkcjonariuszom Policji za czas służby przekraczający określoną normę za II połowę 2023 r., bowiem wypłata świadczenia nastąpiła w lutym 2024 r.</w:t>
            </w:r>
          </w:p>
          <w:p w:rsidR="004E3DAA" w:rsidRPr="00670C2E" w:rsidRDefault="00670C2E" w:rsidP="003B7B24">
            <w:pPr>
              <w:pStyle w:val="Akapitzlist"/>
              <w:numPr>
                <w:ilvl w:val="0"/>
                <w:numId w:val="26"/>
              </w:numPr>
              <w:suppressAutoHyphens/>
              <w:spacing w:after="0" w:line="274" w:lineRule="auto"/>
              <w:ind w:left="113" w:right="-113" w:hanging="170"/>
              <w:rPr>
                <w:rFonts w:ascii="Times New Roman" w:hAnsi="Times New Roman"/>
                <w:color w:val="000000" w:themeColor="text1"/>
                <w:sz w:val="24"/>
                <w:szCs w:val="24"/>
              </w:rPr>
            </w:pPr>
            <w:r w:rsidRPr="00670C2E">
              <w:rPr>
                <w:rFonts w:ascii="Times New Roman" w:hAnsi="Times New Roman"/>
                <w:color w:val="000000" w:themeColor="text1"/>
                <w:sz w:val="24"/>
                <w:szCs w:val="24"/>
              </w:rPr>
              <w:t>U</w:t>
            </w:r>
            <w:r w:rsidR="004E3DAA" w:rsidRPr="00670C2E">
              <w:rPr>
                <w:rFonts w:ascii="Times New Roman" w:hAnsi="Times New Roman"/>
                <w:color w:val="000000" w:themeColor="text1"/>
                <w:sz w:val="24"/>
                <w:szCs w:val="24"/>
              </w:rPr>
              <w:t>chybienia polegające na:</w:t>
            </w:r>
          </w:p>
          <w:p w:rsidR="004E3DAA" w:rsidRPr="0063027B" w:rsidRDefault="004E3DAA" w:rsidP="003B7B24">
            <w:pPr>
              <w:numPr>
                <w:ilvl w:val="0"/>
                <w:numId w:val="24"/>
              </w:numPr>
              <w:suppressAutoHyphens/>
              <w:spacing w:after="0" w:line="274" w:lineRule="auto"/>
              <w:ind w:left="113" w:right="-113" w:hanging="170"/>
              <w:rPr>
                <w:rFonts w:ascii="Times New Roman" w:hAnsi="Times New Roman"/>
                <w:color w:val="000000" w:themeColor="text1"/>
                <w:sz w:val="24"/>
                <w:szCs w:val="24"/>
              </w:rPr>
            </w:pPr>
            <w:r w:rsidRPr="007372B0">
              <w:rPr>
                <w:rFonts w:ascii="Times New Roman" w:hAnsi="Times New Roman"/>
                <w:color w:val="000000" w:themeColor="text1"/>
                <w:spacing w:val="-2"/>
                <w:sz w:val="24"/>
                <w:szCs w:val="24"/>
              </w:rPr>
              <w:t>zakwalifikowaniu kosztów energii elektrycznej powstałych na przełomie</w:t>
            </w:r>
            <w:r w:rsidRPr="0063027B">
              <w:rPr>
                <w:rFonts w:ascii="Times New Roman" w:hAnsi="Times New Roman"/>
                <w:color w:val="000000" w:themeColor="text1"/>
                <w:sz w:val="24"/>
                <w:szCs w:val="24"/>
              </w:rPr>
              <w:t xml:space="preserve"> </w:t>
            </w:r>
            <w:r w:rsidRPr="00670C2E">
              <w:rPr>
                <w:rFonts w:ascii="Times New Roman" w:hAnsi="Times New Roman"/>
                <w:color w:val="000000" w:themeColor="text1"/>
                <w:sz w:val="24"/>
                <w:szCs w:val="24"/>
              </w:rPr>
              <w:t>roku</w:t>
            </w:r>
            <w:r w:rsidRPr="00670C2E">
              <w:rPr>
                <w:rFonts w:ascii="Times New Roman" w:hAnsi="Times New Roman"/>
                <w:color w:val="000000" w:themeColor="text1"/>
                <w:sz w:val="16"/>
                <w:szCs w:val="16"/>
              </w:rPr>
              <w:t xml:space="preserve"> </w:t>
            </w:r>
            <w:r w:rsidRPr="00670C2E">
              <w:rPr>
                <w:rFonts w:ascii="Times New Roman" w:hAnsi="Times New Roman"/>
                <w:color w:val="000000" w:themeColor="text1"/>
                <w:sz w:val="24"/>
                <w:szCs w:val="24"/>
              </w:rPr>
              <w:t>kalendarzowego</w:t>
            </w:r>
            <w:r w:rsidRPr="00670C2E">
              <w:rPr>
                <w:rFonts w:ascii="Times New Roman" w:hAnsi="Times New Roman"/>
                <w:color w:val="000000" w:themeColor="text1"/>
                <w:sz w:val="16"/>
                <w:szCs w:val="16"/>
              </w:rPr>
              <w:t xml:space="preserve"> </w:t>
            </w:r>
            <w:r w:rsidRPr="00670C2E">
              <w:rPr>
                <w:rFonts w:ascii="Times New Roman" w:hAnsi="Times New Roman"/>
                <w:color w:val="000000" w:themeColor="text1"/>
                <w:sz w:val="24"/>
                <w:szCs w:val="24"/>
              </w:rPr>
              <w:t>do</w:t>
            </w:r>
            <w:r w:rsidRPr="00670C2E">
              <w:rPr>
                <w:rFonts w:ascii="Times New Roman" w:hAnsi="Times New Roman"/>
                <w:color w:val="000000" w:themeColor="text1"/>
                <w:sz w:val="16"/>
                <w:szCs w:val="16"/>
              </w:rPr>
              <w:t xml:space="preserve"> </w:t>
            </w:r>
            <w:r w:rsidRPr="00670C2E">
              <w:rPr>
                <w:rFonts w:ascii="Times New Roman" w:hAnsi="Times New Roman"/>
                <w:color w:val="000000" w:themeColor="text1"/>
                <w:sz w:val="24"/>
                <w:szCs w:val="24"/>
              </w:rPr>
              <w:t>kolejnego</w:t>
            </w:r>
            <w:r w:rsidRPr="00670C2E">
              <w:rPr>
                <w:rFonts w:ascii="Times New Roman" w:hAnsi="Times New Roman"/>
                <w:color w:val="000000" w:themeColor="text1"/>
                <w:sz w:val="16"/>
                <w:szCs w:val="16"/>
              </w:rPr>
              <w:t xml:space="preserve"> </w:t>
            </w:r>
            <w:r w:rsidRPr="00670C2E">
              <w:rPr>
                <w:rFonts w:ascii="Times New Roman" w:hAnsi="Times New Roman"/>
                <w:color w:val="000000" w:themeColor="text1"/>
                <w:sz w:val="24"/>
                <w:szCs w:val="24"/>
              </w:rPr>
              <w:t>roku</w:t>
            </w:r>
            <w:r w:rsidRPr="00670C2E">
              <w:rPr>
                <w:rFonts w:ascii="Times New Roman" w:hAnsi="Times New Roman"/>
                <w:color w:val="000000" w:themeColor="text1"/>
                <w:sz w:val="16"/>
                <w:szCs w:val="16"/>
              </w:rPr>
              <w:t xml:space="preserve"> </w:t>
            </w:r>
            <w:r w:rsidRPr="00670C2E">
              <w:rPr>
                <w:rFonts w:ascii="Times New Roman" w:hAnsi="Times New Roman"/>
                <w:color w:val="000000" w:themeColor="text1"/>
                <w:sz w:val="24"/>
                <w:szCs w:val="24"/>
              </w:rPr>
              <w:t>obrotowego,</w:t>
            </w:r>
            <w:r w:rsidRPr="00670C2E">
              <w:rPr>
                <w:rFonts w:ascii="Times New Roman" w:hAnsi="Times New Roman"/>
                <w:color w:val="000000" w:themeColor="text1"/>
                <w:sz w:val="16"/>
                <w:szCs w:val="16"/>
              </w:rPr>
              <w:t xml:space="preserve"> </w:t>
            </w:r>
            <w:r w:rsidRPr="00670C2E">
              <w:rPr>
                <w:rFonts w:ascii="Times New Roman" w:hAnsi="Times New Roman"/>
                <w:color w:val="000000" w:themeColor="text1"/>
                <w:sz w:val="24"/>
                <w:szCs w:val="24"/>
              </w:rPr>
              <w:t>zamiast</w:t>
            </w:r>
            <w:r w:rsidRPr="00670C2E">
              <w:rPr>
                <w:rFonts w:ascii="Times New Roman" w:hAnsi="Times New Roman"/>
                <w:color w:val="000000" w:themeColor="text1"/>
                <w:sz w:val="16"/>
                <w:szCs w:val="16"/>
              </w:rPr>
              <w:t xml:space="preserve"> </w:t>
            </w:r>
            <w:r w:rsidRPr="00670C2E">
              <w:rPr>
                <w:rFonts w:ascii="Times New Roman" w:hAnsi="Times New Roman"/>
                <w:color w:val="000000" w:themeColor="text1"/>
                <w:sz w:val="24"/>
                <w:szCs w:val="24"/>
              </w:rPr>
              <w:t>odpowiednich</w:t>
            </w:r>
            <w:r w:rsidRPr="0063027B">
              <w:rPr>
                <w:rFonts w:ascii="Times New Roman" w:hAnsi="Times New Roman"/>
                <w:color w:val="000000" w:themeColor="text1"/>
                <w:sz w:val="24"/>
                <w:szCs w:val="24"/>
              </w:rPr>
              <w:t xml:space="preserve"> kwot do właściwego roku obrotowego;</w:t>
            </w:r>
          </w:p>
          <w:p w:rsidR="004E3DAA" w:rsidRPr="00670C2E" w:rsidRDefault="004E3DAA" w:rsidP="003B7B24">
            <w:pPr>
              <w:numPr>
                <w:ilvl w:val="0"/>
                <w:numId w:val="24"/>
              </w:numPr>
              <w:suppressAutoHyphens/>
              <w:spacing w:after="0" w:line="274" w:lineRule="auto"/>
              <w:ind w:left="113" w:right="-113" w:hanging="170"/>
              <w:rPr>
                <w:rFonts w:ascii="Times New Roman" w:hAnsi="Times New Roman"/>
                <w:color w:val="000000" w:themeColor="text1"/>
                <w:spacing w:val="-2"/>
                <w:sz w:val="24"/>
                <w:szCs w:val="24"/>
              </w:rPr>
            </w:pPr>
            <w:r w:rsidRPr="00670C2E">
              <w:rPr>
                <w:rFonts w:ascii="Times New Roman" w:hAnsi="Times New Roman"/>
                <w:color w:val="000000" w:themeColor="text1"/>
                <w:sz w:val="24"/>
                <w:szCs w:val="24"/>
              </w:rPr>
              <w:t>uregulowaniu podatków, opłat oraz zobowiązań wobec pracowników</w:t>
            </w:r>
            <w:r w:rsidRPr="0063027B">
              <w:rPr>
                <w:rFonts w:ascii="Times New Roman" w:hAnsi="Times New Roman"/>
                <w:color w:val="000000" w:themeColor="text1"/>
                <w:sz w:val="24"/>
                <w:szCs w:val="24"/>
              </w:rPr>
              <w:t xml:space="preserve"> </w:t>
            </w:r>
            <w:r w:rsidR="00BA0BCC">
              <w:rPr>
                <w:rFonts w:ascii="Times New Roman" w:hAnsi="Times New Roman"/>
                <w:color w:val="000000" w:themeColor="text1"/>
                <w:sz w:val="24"/>
                <w:szCs w:val="24"/>
              </w:rPr>
              <w:br/>
            </w:r>
            <w:r w:rsidRPr="007372B0">
              <w:rPr>
                <w:rFonts w:ascii="Times New Roman" w:hAnsi="Times New Roman"/>
                <w:color w:val="000000" w:themeColor="text1"/>
                <w:spacing w:val="-4"/>
                <w:sz w:val="24"/>
                <w:szCs w:val="24"/>
              </w:rPr>
              <w:t>z pominięciem schematu księgowań przewidzianego w ZPK, dotyczącego</w:t>
            </w:r>
            <w:r w:rsidRPr="0063027B">
              <w:rPr>
                <w:rFonts w:ascii="Times New Roman" w:hAnsi="Times New Roman"/>
                <w:color w:val="000000" w:themeColor="text1"/>
                <w:sz w:val="24"/>
                <w:szCs w:val="24"/>
              </w:rPr>
              <w:t xml:space="preserve"> </w:t>
            </w:r>
            <w:r w:rsidRPr="00670C2E">
              <w:rPr>
                <w:rFonts w:ascii="Times New Roman" w:hAnsi="Times New Roman"/>
                <w:color w:val="000000" w:themeColor="text1"/>
                <w:spacing w:val="-2"/>
                <w:sz w:val="24"/>
                <w:szCs w:val="24"/>
              </w:rPr>
              <w:t>ujmowania zobowiązań z</w:t>
            </w:r>
            <w:r w:rsidR="00E7219B" w:rsidRPr="00670C2E">
              <w:rPr>
                <w:rFonts w:ascii="Times New Roman" w:hAnsi="Times New Roman"/>
                <w:color w:val="000000" w:themeColor="text1"/>
                <w:spacing w:val="-2"/>
                <w:sz w:val="24"/>
                <w:szCs w:val="24"/>
              </w:rPr>
              <w:t xml:space="preserve"> </w:t>
            </w:r>
            <w:r w:rsidRPr="00670C2E">
              <w:rPr>
                <w:rFonts w:ascii="Times New Roman" w:hAnsi="Times New Roman"/>
                <w:color w:val="000000" w:themeColor="text1"/>
                <w:spacing w:val="-2"/>
                <w:sz w:val="24"/>
                <w:szCs w:val="24"/>
              </w:rPr>
              <w:t>wykorzystaniem kont zespołu 2</w:t>
            </w:r>
            <w:r w:rsidRPr="00670C2E">
              <w:rPr>
                <w:rFonts w:ascii="Times New Roman" w:hAnsi="Times New Roman"/>
                <w:color w:val="000000" w:themeColor="text1"/>
                <w:spacing w:val="-2"/>
                <w:sz w:val="16"/>
                <w:szCs w:val="16"/>
              </w:rPr>
              <w:t xml:space="preserve"> </w:t>
            </w:r>
            <w:r w:rsidR="00E7219B" w:rsidRPr="00670C2E">
              <w:rPr>
                <w:rFonts w:ascii="Times New Roman" w:hAnsi="Times New Roman"/>
                <w:color w:val="000000" w:themeColor="text1"/>
                <w:spacing w:val="-2"/>
                <w:sz w:val="24"/>
                <w:szCs w:val="24"/>
              </w:rPr>
              <w:t>-</w:t>
            </w:r>
            <w:r w:rsidRPr="00670C2E">
              <w:rPr>
                <w:rFonts w:ascii="Times New Roman" w:hAnsi="Times New Roman"/>
                <w:color w:val="000000" w:themeColor="text1"/>
                <w:spacing w:val="-2"/>
                <w:sz w:val="16"/>
                <w:szCs w:val="16"/>
              </w:rPr>
              <w:t xml:space="preserve"> </w:t>
            </w:r>
            <w:r w:rsidRPr="00670C2E">
              <w:rPr>
                <w:rFonts w:ascii="Times New Roman" w:hAnsi="Times New Roman"/>
                <w:i/>
                <w:iCs/>
                <w:color w:val="000000" w:themeColor="text1"/>
                <w:spacing w:val="-2"/>
                <w:sz w:val="24"/>
                <w:szCs w:val="24"/>
              </w:rPr>
              <w:t xml:space="preserve">Rozrachunki </w:t>
            </w:r>
            <w:r w:rsidR="00D71A36">
              <w:rPr>
                <w:rFonts w:ascii="Times New Roman" w:hAnsi="Times New Roman"/>
                <w:i/>
                <w:iCs/>
                <w:color w:val="000000" w:themeColor="text1"/>
                <w:spacing w:val="-2"/>
                <w:sz w:val="24"/>
                <w:szCs w:val="24"/>
              </w:rPr>
              <w:br/>
            </w:r>
            <w:r w:rsidRPr="00670C2E">
              <w:rPr>
                <w:rFonts w:ascii="Times New Roman" w:hAnsi="Times New Roman"/>
                <w:i/>
                <w:iCs/>
                <w:color w:val="000000" w:themeColor="text1"/>
                <w:spacing w:val="-2"/>
                <w:sz w:val="24"/>
                <w:szCs w:val="24"/>
              </w:rPr>
              <w:t>i</w:t>
            </w:r>
            <w:r w:rsidR="00E7219B" w:rsidRPr="00670C2E">
              <w:rPr>
                <w:rFonts w:ascii="Times New Roman" w:hAnsi="Times New Roman"/>
                <w:i/>
                <w:iCs/>
                <w:color w:val="000000" w:themeColor="text1"/>
                <w:spacing w:val="-2"/>
                <w:sz w:val="24"/>
                <w:szCs w:val="24"/>
              </w:rPr>
              <w:t xml:space="preserve"> </w:t>
            </w:r>
            <w:r w:rsidRPr="00670C2E">
              <w:rPr>
                <w:rFonts w:ascii="Times New Roman" w:hAnsi="Times New Roman"/>
                <w:i/>
                <w:iCs/>
                <w:color w:val="000000" w:themeColor="text1"/>
                <w:spacing w:val="-2"/>
                <w:sz w:val="24"/>
                <w:szCs w:val="24"/>
              </w:rPr>
              <w:t>rozliczenia</w:t>
            </w:r>
            <w:r w:rsidRPr="00670C2E">
              <w:rPr>
                <w:rFonts w:ascii="Times New Roman" w:hAnsi="Times New Roman"/>
                <w:iCs/>
                <w:color w:val="000000" w:themeColor="text1"/>
                <w:spacing w:val="-2"/>
                <w:sz w:val="24"/>
                <w:szCs w:val="24"/>
              </w:rPr>
              <w:t>;</w:t>
            </w:r>
          </w:p>
          <w:p w:rsidR="003A245F" w:rsidRPr="0063027B" w:rsidRDefault="004E3DAA" w:rsidP="003B7B24">
            <w:pPr>
              <w:numPr>
                <w:ilvl w:val="0"/>
                <w:numId w:val="24"/>
              </w:numPr>
              <w:suppressAutoHyphens/>
              <w:spacing w:after="0" w:line="274" w:lineRule="auto"/>
              <w:ind w:left="113" w:right="-113" w:hanging="170"/>
              <w:rPr>
                <w:rFonts w:ascii="Times New Roman" w:hAnsi="Times New Roman"/>
                <w:color w:val="000000" w:themeColor="text1"/>
                <w:sz w:val="24"/>
                <w:szCs w:val="24"/>
              </w:rPr>
            </w:pPr>
            <w:r w:rsidRPr="0063027B">
              <w:rPr>
                <w:rFonts w:ascii="Times New Roman" w:hAnsi="Times New Roman"/>
                <w:color w:val="000000" w:themeColor="text1"/>
                <w:sz w:val="24"/>
                <w:szCs w:val="24"/>
              </w:rPr>
              <w:t xml:space="preserve">uwzględnieniu faktury dokumentującej zakup okularów do pracy przy </w:t>
            </w:r>
            <w:r w:rsidRPr="00670C2E">
              <w:rPr>
                <w:rFonts w:ascii="Times New Roman" w:hAnsi="Times New Roman"/>
                <w:color w:val="000000" w:themeColor="text1"/>
                <w:sz w:val="24"/>
                <w:szCs w:val="24"/>
              </w:rPr>
              <w:t>monitorze</w:t>
            </w:r>
            <w:r w:rsidRPr="00670C2E">
              <w:rPr>
                <w:rFonts w:ascii="Times New Roman" w:hAnsi="Times New Roman"/>
                <w:color w:val="000000" w:themeColor="text1"/>
                <w:sz w:val="16"/>
                <w:szCs w:val="16"/>
              </w:rPr>
              <w:t xml:space="preserve"> </w:t>
            </w:r>
            <w:r w:rsidRPr="00670C2E">
              <w:rPr>
                <w:rFonts w:ascii="Times New Roman" w:hAnsi="Times New Roman"/>
                <w:color w:val="000000" w:themeColor="text1"/>
                <w:sz w:val="24"/>
                <w:szCs w:val="24"/>
              </w:rPr>
              <w:t>ekranowym</w:t>
            </w:r>
            <w:r w:rsidRPr="00670C2E">
              <w:rPr>
                <w:rFonts w:ascii="Times New Roman" w:hAnsi="Times New Roman"/>
                <w:color w:val="000000" w:themeColor="text1"/>
                <w:sz w:val="16"/>
                <w:szCs w:val="16"/>
              </w:rPr>
              <w:t xml:space="preserve"> </w:t>
            </w:r>
            <w:r w:rsidRPr="00670C2E">
              <w:rPr>
                <w:rFonts w:ascii="Times New Roman" w:hAnsi="Times New Roman"/>
                <w:color w:val="000000" w:themeColor="text1"/>
                <w:sz w:val="24"/>
                <w:szCs w:val="24"/>
              </w:rPr>
              <w:t>wystawionej</w:t>
            </w:r>
            <w:r w:rsidRPr="00670C2E">
              <w:rPr>
                <w:rFonts w:ascii="Times New Roman" w:hAnsi="Times New Roman"/>
                <w:color w:val="000000" w:themeColor="text1"/>
                <w:sz w:val="16"/>
                <w:szCs w:val="16"/>
              </w:rPr>
              <w:t xml:space="preserve"> </w:t>
            </w:r>
            <w:r w:rsidRPr="00670C2E">
              <w:rPr>
                <w:rFonts w:ascii="Times New Roman" w:hAnsi="Times New Roman"/>
                <w:color w:val="000000" w:themeColor="text1"/>
                <w:sz w:val="24"/>
                <w:szCs w:val="24"/>
              </w:rPr>
              <w:t>na</w:t>
            </w:r>
            <w:r w:rsidRPr="00670C2E">
              <w:rPr>
                <w:rFonts w:ascii="Times New Roman" w:hAnsi="Times New Roman"/>
                <w:color w:val="000000" w:themeColor="text1"/>
                <w:sz w:val="16"/>
                <w:szCs w:val="16"/>
              </w:rPr>
              <w:t xml:space="preserve"> </w:t>
            </w:r>
            <w:r w:rsidRPr="00670C2E">
              <w:rPr>
                <w:rFonts w:ascii="Times New Roman" w:hAnsi="Times New Roman"/>
                <w:color w:val="000000" w:themeColor="text1"/>
                <w:sz w:val="24"/>
                <w:szCs w:val="24"/>
              </w:rPr>
              <w:t>Komendę</w:t>
            </w:r>
            <w:r w:rsidRPr="00670C2E">
              <w:rPr>
                <w:rFonts w:ascii="Times New Roman" w:hAnsi="Times New Roman"/>
                <w:color w:val="000000" w:themeColor="text1"/>
                <w:sz w:val="16"/>
                <w:szCs w:val="16"/>
              </w:rPr>
              <w:t xml:space="preserve"> </w:t>
            </w:r>
            <w:r w:rsidRPr="00670C2E">
              <w:rPr>
                <w:rFonts w:ascii="Times New Roman" w:hAnsi="Times New Roman"/>
                <w:color w:val="000000" w:themeColor="text1"/>
                <w:sz w:val="24"/>
                <w:szCs w:val="24"/>
              </w:rPr>
              <w:t>wbrew</w:t>
            </w:r>
            <w:r w:rsidRPr="00670C2E">
              <w:rPr>
                <w:rFonts w:ascii="Times New Roman" w:hAnsi="Times New Roman"/>
                <w:color w:val="000000" w:themeColor="text1"/>
                <w:sz w:val="16"/>
                <w:szCs w:val="16"/>
              </w:rPr>
              <w:t xml:space="preserve"> </w:t>
            </w:r>
            <w:r w:rsidRPr="00670C2E">
              <w:rPr>
                <w:rFonts w:ascii="Times New Roman" w:hAnsi="Times New Roman"/>
                <w:color w:val="000000" w:themeColor="text1"/>
                <w:sz w:val="24"/>
                <w:szCs w:val="24"/>
              </w:rPr>
              <w:t>decyzji Komendanta</w:t>
            </w:r>
            <w:r w:rsidRPr="0063027B">
              <w:rPr>
                <w:rFonts w:ascii="Times New Roman" w:hAnsi="Times New Roman"/>
                <w:color w:val="000000" w:themeColor="text1"/>
                <w:sz w:val="24"/>
                <w:szCs w:val="24"/>
              </w:rPr>
              <w:t xml:space="preserve"> Wojewódzkiego Policji, z</w:t>
            </w:r>
            <w:r w:rsidR="00BA0BCC">
              <w:rPr>
                <w:rFonts w:ascii="Times New Roman" w:hAnsi="Times New Roman"/>
                <w:color w:val="000000" w:themeColor="text1"/>
                <w:sz w:val="24"/>
                <w:szCs w:val="24"/>
              </w:rPr>
              <w:t xml:space="preserve"> </w:t>
            </w:r>
            <w:r w:rsidRPr="0063027B">
              <w:rPr>
                <w:rFonts w:ascii="Times New Roman" w:hAnsi="Times New Roman"/>
                <w:color w:val="000000" w:themeColor="text1"/>
                <w:sz w:val="24"/>
                <w:szCs w:val="24"/>
              </w:rPr>
              <w:t>której wynika obowiązek dołączenia faktury wskazującej dane osobowe zaopatrzonego pracownika.</w:t>
            </w:r>
          </w:p>
        </w:tc>
      </w:tr>
      <w:tr w:rsidR="0063027B" w:rsidRPr="0063027B" w:rsidTr="007372B0">
        <w:tc>
          <w:tcPr>
            <w:tcW w:w="425" w:type="dxa"/>
            <w:tcMar>
              <w:left w:w="57" w:type="dxa"/>
              <w:right w:w="57" w:type="dxa"/>
            </w:tcMar>
            <w:vAlign w:val="center"/>
          </w:tcPr>
          <w:p w:rsidR="003A245F" w:rsidRPr="00670C2E" w:rsidRDefault="003A245F" w:rsidP="00670C2E">
            <w:pPr>
              <w:numPr>
                <w:ilvl w:val="0"/>
                <w:numId w:val="20"/>
              </w:numPr>
              <w:spacing w:before="120" w:after="120" w:line="240" w:lineRule="auto"/>
              <w:ind w:left="283" w:hanging="170"/>
              <w:jc w:val="center"/>
              <w:rPr>
                <w:rFonts w:ascii="Times New Roman" w:hAnsi="Times New Roman"/>
                <w:b/>
                <w:color w:val="000000" w:themeColor="text1"/>
                <w:sz w:val="24"/>
                <w:szCs w:val="24"/>
              </w:rPr>
            </w:pPr>
          </w:p>
        </w:tc>
        <w:tc>
          <w:tcPr>
            <w:tcW w:w="3403" w:type="dxa"/>
            <w:shd w:val="clear" w:color="auto" w:fill="auto"/>
            <w:vAlign w:val="center"/>
          </w:tcPr>
          <w:p w:rsidR="003A245F" w:rsidRPr="0063027B" w:rsidRDefault="003A245F" w:rsidP="007372B0">
            <w:pPr>
              <w:spacing w:after="0" w:line="240" w:lineRule="auto"/>
              <w:ind w:left="-40" w:right="-113"/>
              <w:rPr>
                <w:rFonts w:ascii="Times New Roman" w:hAnsi="Times New Roman"/>
                <w:b/>
                <w:color w:val="000000" w:themeColor="text1"/>
                <w:sz w:val="24"/>
                <w:szCs w:val="24"/>
              </w:rPr>
            </w:pPr>
            <w:r w:rsidRPr="0063027B">
              <w:rPr>
                <w:rFonts w:ascii="Times New Roman" w:hAnsi="Times New Roman"/>
                <w:b/>
                <w:color w:val="000000" w:themeColor="text1"/>
                <w:sz w:val="24"/>
                <w:szCs w:val="24"/>
              </w:rPr>
              <w:t>Wnioski i zalecenia pokontrolne</w:t>
            </w:r>
          </w:p>
        </w:tc>
        <w:tc>
          <w:tcPr>
            <w:tcW w:w="7087" w:type="dxa"/>
            <w:shd w:val="clear" w:color="auto" w:fill="auto"/>
          </w:tcPr>
          <w:p w:rsidR="003838C8" w:rsidRPr="00670C2E" w:rsidRDefault="003838C8" w:rsidP="003B7B24">
            <w:pPr>
              <w:pStyle w:val="Akapitzlist"/>
              <w:numPr>
                <w:ilvl w:val="0"/>
                <w:numId w:val="27"/>
              </w:numPr>
              <w:spacing w:after="0" w:line="274" w:lineRule="auto"/>
              <w:ind w:left="141" w:right="-113" w:hanging="198"/>
              <w:outlineLvl w:val="0"/>
              <w:rPr>
                <w:rFonts w:ascii="Times New Roman" w:hAnsi="Times New Roman"/>
                <w:color w:val="000000" w:themeColor="text1"/>
                <w:sz w:val="24"/>
                <w:szCs w:val="24"/>
              </w:rPr>
            </w:pPr>
            <w:r w:rsidRPr="00670C2E">
              <w:rPr>
                <w:rFonts w:ascii="Times New Roman" w:hAnsi="Times New Roman"/>
                <w:color w:val="000000" w:themeColor="text1"/>
                <w:spacing w:val="-2"/>
                <w:sz w:val="24"/>
                <w:szCs w:val="24"/>
              </w:rPr>
              <w:t xml:space="preserve">Ujmowanie zobowiązania z tytułu rekompensaty pieniężnej wypłacanej </w:t>
            </w:r>
            <w:r w:rsidRPr="00670C2E">
              <w:rPr>
                <w:rFonts w:ascii="Times New Roman" w:hAnsi="Times New Roman"/>
                <w:color w:val="000000" w:themeColor="text1"/>
                <w:sz w:val="24"/>
                <w:szCs w:val="24"/>
              </w:rPr>
              <w:t>funkcjonariuszom Policji za czas służby przekraczający określoną normę, powstałego w okresie rozliczeniowym od 1</w:t>
            </w:r>
            <w:r w:rsidR="00D71A36">
              <w:rPr>
                <w:rFonts w:ascii="Times New Roman" w:hAnsi="Times New Roman"/>
                <w:color w:val="000000" w:themeColor="text1"/>
                <w:sz w:val="24"/>
                <w:szCs w:val="24"/>
              </w:rPr>
              <w:t xml:space="preserve"> lipca do 31 grudnia </w:t>
            </w:r>
            <w:r w:rsidRPr="00670C2E">
              <w:rPr>
                <w:rFonts w:ascii="Times New Roman" w:hAnsi="Times New Roman"/>
                <w:color w:val="000000" w:themeColor="text1"/>
                <w:spacing w:val="-2"/>
                <w:sz w:val="24"/>
                <w:szCs w:val="24"/>
              </w:rPr>
              <w:t>danego roku, w księgach rachunkowych jednostki do roku obrotowego</w:t>
            </w:r>
            <w:r w:rsidRPr="00670C2E">
              <w:rPr>
                <w:rFonts w:ascii="Times New Roman" w:hAnsi="Times New Roman"/>
                <w:color w:val="000000" w:themeColor="text1"/>
                <w:sz w:val="24"/>
                <w:szCs w:val="24"/>
              </w:rPr>
              <w:t>, którego dotyczą.</w:t>
            </w:r>
          </w:p>
          <w:p w:rsidR="003838C8" w:rsidRPr="00670C2E" w:rsidRDefault="003838C8" w:rsidP="003B7B24">
            <w:pPr>
              <w:pStyle w:val="Akapitzlist"/>
              <w:numPr>
                <w:ilvl w:val="0"/>
                <w:numId w:val="27"/>
              </w:numPr>
              <w:spacing w:after="0" w:line="274" w:lineRule="auto"/>
              <w:ind w:left="141" w:right="-113" w:hanging="198"/>
              <w:outlineLvl w:val="0"/>
              <w:rPr>
                <w:rFonts w:ascii="Times New Roman" w:hAnsi="Times New Roman"/>
                <w:color w:val="000000" w:themeColor="text1"/>
                <w:spacing w:val="-4"/>
                <w:sz w:val="24"/>
                <w:szCs w:val="24"/>
              </w:rPr>
            </w:pPr>
            <w:r w:rsidRPr="00670C2E">
              <w:rPr>
                <w:rFonts w:ascii="Times New Roman" w:hAnsi="Times New Roman"/>
                <w:color w:val="000000" w:themeColor="text1"/>
                <w:spacing w:val="-4"/>
                <w:sz w:val="24"/>
                <w:szCs w:val="24"/>
              </w:rPr>
              <w:t xml:space="preserve">Doprecyzowanie zapisu </w:t>
            </w:r>
            <w:r w:rsidR="00BA0BCC" w:rsidRPr="00670C2E">
              <w:rPr>
                <w:rFonts w:ascii="Times New Roman" w:hAnsi="Times New Roman"/>
                <w:color w:val="000000" w:themeColor="text1"/>
                <w:spacing w:val="-4"/>
                <w:sz w:val="24"/>
                <w:szCs w:val="24"/>
              </w:rPr>
              <w:t xml:space="preserve">w </w:t>
            </w:r>
            <w:r w:rsidRPr="00670C2E">
              <w:rPr>
                <w:rFonts w:ascii="Times New Roman" w:hAnsi="Times New Roman"/>
                <w:color w:val="000000" w:themeColor="text1"/>
                <w:spacing w:val="-4"/>
                <w:sz w:val="24"/>
                <w:szCs w:val="24"/>
              </w:rPr>
              <w:t xml:space="preserve">instrukcji obiegu dokumentów Komendy, </w:t>
            </w:r>
            <w:r w:rsidR="00D71A36">
              <w:rPr>
                <w:rFonts w:ascii="Times New Roman" w:hAnsi="Times New Roman"/>
                <w:color w:val="000000" w:themeColor="text1"/>
                <w:spacing w:val="-4"/>
                <w:sz w:val="24"/>
                <w:szCs w:val="24"/>
              </w:rPr>
              <w:br/>
            </w:r>
            <w:r w:rsidRPr="00670C2E">
              <w:rPr>
                <w:rFonts w:ascii="Times New Roman" w:hAnsi="Times New Roman"/>
                <w:color w:val="000000" w:themeColor="text1"/>
                <w:spacing w:val="-4"/>
                <w:sz w:val="24"/>
                <w:szCs w:val="24"/>
              </w:rPr>
              <w:t>tak</w:t>
            </w:r>
            <w:r w:rsidRPr="00670C2E">
              <w:rPr>
                <w:rFonts w:ascii="Times New Roman" w:hAnsi="Times New Roman"/>
                <w:color w:val="000000" w:themeColor="text1"/>
                <w:spacing w:val="-6"/>
                <w:sz w:val="24"/>
                <w:szCs w:val="24"/>
              </w:rPr>
              <w:t xml:space="preserve"> </w:t>
            </w:r>
            <w:r w:rsidRPr="00670C2E">
              <w:rPr>
                <w:rFonts w:ascii="Times New Roman" w:hAnsi="Times New Roman"/>
                <w:color w:val="000000" w:themeColor="text1"/>
                <w:spacing w:val="-4"/>
                <w:sz w:val="24"/>
                <w:szCs w:val="24"/>
              </w:rPr>
              <w:t>aby spełniał wymagania określone w art.</w:t>
            </w:r>
            <w:r w:rsidRPr="00670C2E">
              <w:rPr>
                <w:rFonts w:ascii="Times New Roman" w:hAnsi="Times New Roman"/>
                <w:color w:val="000000" w:themeColor="text1"/>
                <w:spacing w:val="-4"/>
                <w:sz w:val="16"/>
                <w:szCs w:val="16"/>
              </w:rPr>
              <w:t xml:space="preserve"> </w:t>
            </w:r>
            <w:r w:rsidRPr="00670C2E">
              <w:rPr>
                <w:rFonts w:ascii="Times New Roman" w:hAnsi="Times New Roman"/>
                <w:color w:val="000000" w:themeColor="text1"/>
                <w:spacing w:val="-4"/>
                <w:sz w:val="24"/>
                <w:szCs w:val="24"/>
              </w:rPr>
              <w:t>8 ust.</w:t>
            </w:r>
            <w:r w:rsidRPr="00670C2E">
              <w:rPr>
                <w:rFonts w:ascii="Times New Roman" w:hAnsi="Times New Roman"/>
                <w:color w:val="000000" w:themeColor="text1"/>
                <w:spacing w:val="-4"/>
                <w:sz w:val="16"/>
                <w:szCs w:val="16"/>
              </w:rPr>
              <w:t xml:space="preserve"> </w:t>
            </w:r>
            <w:r w:rsidRPr="00670C2E">
              <w:rPr>
                <w:rFonts w:ascii="Times New Roman" w:hAnsi="Times New Roman"/>
                <w:color w:val="000000" w:themeColor="text1"/>
                <w:spacing w:val="-4"/>
                <w:sz w:val="24"/>
                <w:szCs w:val="24"/>
              </w:rPr>
              <w:t>1 ww.</w:t>
            </w:r>
            <w:r w:rsidRPr="00670C2E">
              <w:rPr>
                <w:rFonts w:ascii="Times New Roman" w:hAnsi="Times New Roman"/>
                <w:color w:val="000000" w:themeColor="text1"/>
                <w:spacing w:val="-4"/>
                <w:sz w:val="16"/>
                <w:szCs w:val="16"/>
              </w:rPr>
              <w:t xml:space="preserve"> </w:t>
            </w:r>
            <w:r w:rsidRPr="00670C2E">
              <w:rPr>
                <w:rFonts w:ascii="Times New Roman" w:hAnsi="Times New Roman"/>
                <w:color w:val="000000" w:themeColor="text1"/>
                <w:spacing w:val="-4"/>
                <w:sz w:val="24"/>
                <w:szCs w:val="24"/>
              </w:rPr>
              <w:t xml:space="preserve">ustawy, ewentualnie </w:t>
            </w:r>
            <w:r w:rsidRPr="00670C2E">
              <w:rPr>
                <w:rFonts w:ascii="Times New Roman" w:hAnsi="Times New Roman"/>
                <w:color w:val="000000" w:themeColor="text1"/>
                <w:sz w:val="24"/>
                <w:szCs w:val="24"/>
              </w:rPr>
              <w:t xml:space="preserve">do zrezygnowania ze stosowania ww. normy postępowania </w:t>
            </w:r>
            <w:r w:rsidR="00670C2E">
              <w:rPr>
                <w:rFonts w:ascii="Times New Roman" w:hAnsi="Times New Roman"/>
                <w:color w:val="000000" w:themeColor="text1"/>
                <w:sz w:val="24"/>
                <w:szCs w:val="24"/>
              </w:rPr>
              <w:br/>
            </w:r>
            <w:r w:rsidRPr="00670C2E">
              <w:rPr>
                <w:rFonts w:ascii="Times New Roman" w:hAnsi="Times New Roman"/>
                <w:color w:val="000000" w:themeColor="text1"/>
                <w:sz w:val="24"/>
                <w:szCs w:val="24"/>
              </w:rPr>
              <w:t>i ewidencjonowania</w:t>
            </w:r>
            <w:r w:rsidRPr="00670C2E">
              <w:rPr>
                <w:rFonts w:ascii="Times New Roman" w:hAnsi="Times New Roman"/>
                <w:color w:val="000000" w:themeColor="text1"/>
                <w:spacing w:val="-8"/>
                <w:sz w:val="24"/>
                <w:szCs w:val="24"/>
              </w:rPr>
              <w:t xml:space="preserve"> </w:t>
            </w:r>
            <w:r w:rsidRPr="00670C2E">
              <w:rPr>
                <w:rFonts w:ascii="Times New Roman" w:hAnsi="Times New Roman"/>
                <w:color w:val="000000" w:themeColor="text1"/>
                <w:spacing w:val="-4"/>
                <w:sz w:val="24"/>
                <w:szCs w:val="24"/>
              </w:rPr>
              <w:t xml:space="preserve">wykazanych w fakturze Vat kosztów energii </w:t>
            </w:r>
            <w:r w:rsidRPr="00670C2E">
              <w:rPr>
                <w:rFonts w:ascii="Times New Roman" w:hAnsi="Times New Roman"/>
                <w:color w:val="000000" w:themeColor="text1"/>
                <w:sz w:val="24"/>
                <w:szCs w:val="24"/>
              </w:rPr>
              <w:t xml:space="preserve">elektrycznej </w:t>
            </w:r>
            <w:r w:rsidR="007372B0" w:rsidRPr="00670C2E">
              <w:rPr>
                <w:rFonts w:ascii="Times New Roman" w:hAnsi="Times New Roman"/>
                <w:color w:val="000000" w:themeColor="text1"/>
                <w:sz w:val="24"/>
                <w:szCs w:val="24"/>
              </w:rPr>
              <w:t>(</w:t>
            </w:r>
            <w:r w:rsidRPr="00670C2E">
              <w:rPr>
                <w:rFonts w:ascii="Times New Roman" w:hAnsi="Times New Roman"/>
                <w:color w:val="000000" w:themeColor="text1"/>
                <w:sz w:val="24"/>
                <w:szCs w:val="24"/>
              </w:rPr>
              <w:t>za okres rozliczeniowy przypadający na przełomie roku</w:t>
            </w:r>
            <w:r w:rsidR="007372B0" w:rsidRPr="00670C2E">
              <w:rPr>
                <w:rFonts w:ascii="Times New Roman" w:hAnsi="Times New Roman"/>
                <w:color w:val="000000" w:themeColor="text1"/>
                <w:sz w:val="24"/>
                <w:szCs w:val="24"/>
              </w:rPr>
              <w:t>)</w:t>
            </w:r>
            <w:r w:rsidRPr="00670C2E">
              <w:rPr>
                <w:rFonts w:ascii="Times New Roman" w:hAnsi="Times New Roman"/>
                <w:color w:val="000000" w:themeColor="text1"/>
                <w:sz w:val="24"/>
                <w:szCs w:val="24"/>
              </w:rPr>
              <w:t xml:space="preserve"> </w:t>
            </w:r>
            <w:r w:rsidRPr="00670C2E">
              <w:rPr>
                <w:rFonts w:ascii="Times New Roman" w:hAnsi="Times New Roman"/>
                <w:color w:val="000000" w:themeColor="text1"/>
                <w:spacing w:val="-4"/>
                <w:sz w:val="24"/>
                <w:szCs w:val="24"/>
              </w:rPr>
              <w:lastRenderedPageBreak/>
              <w:t xml:space="preserve">proporcjonalnie </w:t>
            </w:r>
            <w:r w:rsidRPr="00670C2E">
              <w:rPr>
                <w:rFonts w:ascii="Times New Roman" w:hAnsi="Times New Roman"/>
                <w:color w:val="000000" w:themeColor="text1"/>
                <w:spacing w:val="-6"/>
                <w:sz w:val="24"/>
                <w:szCs w:val="24"/>
              </w:rPr>
              <w:t>do okresu, którego dotyczą, zgodnie z zasadą memoriału wynikającą z</w:t>
            </w:r>
            <w:r w:rsidRPr="00670C2E">
              <w:rPr>
                <w:rFonts w:ascii="Times New Roman" w:hAnsi="Times New Roman"/>
                <w:color w:val="000000" w:themeColor="text1"/>
                <w:spacing w:val="-6"/>
                <w:sz w:val="16"/>
                <w:szCs w:val="16"/>
              </w:rPr>
              <w:t xml:space="preserve"> </w:t>
            </w:r>
            <w:r w:rsidRPr="00670C2E">
              <w:rPr>
                <w:rFonts w:ascii="Times New Roman" w:hAnsi="Times New Roman"/>
                <w:color w:val="000000" w:themeColor="text1"/>
                <w:spacing w:val="-6"/>
                <w:sz w:val="24"/>
                <w:szCs w:val="24"/>
              </w:rPr>
              <w:t>art.</w:t>
            </w:r>
            <w:r w:rsidRPr="00670C2E">
              <w:rPr>
                <w:rFonts w:ascii="Times New Roman" w:hAnsi="Times New Roman"/>
                <w:color w:val="000000" w:themeColor="text1"/>
                <w:spacing w:val="-6"/>
                <w:sz w:val="16"/>
                <w:szCs w:val="16"/>
              </w:rPr>
              <w:t xml:space="preserve"> </w:t>
            </w:r>
            <w:r w:rsidRPr="00670C2E">
              <w:rPr>
                <w:rFonts w:ascii="Times New Roman" w:hAnsi="Times New Roman"/>
                <w:color w:val="000000" w:themeColor="text1"/>
                <w:spacing w:val="-6"/>
                <w:sz w:val="24"/>
                <w:szCs w:val="24"/>
              </w:rPr>
              <w:t>6</w:t>
            </w:r>
            <w:r w:rsidRPr="00670C2E">
              <w:rPr>
                <w:rFonts w:ascii="Times New Roman" w:hAnsi="Times New Roman"/>
                <w:color w:val="000000" w:themeColor="text1"/>
                <w:spacing w:val="-4"/>
                <w:sz w:val="24"/>
                <w:szCs w:val="24"/>
              </w:rPr>
              <w:t xml:space="preserve"> ust. 1 ustawy </w:t>
            </w:r>
            <w:r w:rsidRPr="00670C2E">
              <w:rPr>
                <w:rFonts w:ascii="Times New Roman" w:hAnsi="Times New Roman"/>
                <w:i/>
                <w:color w:val="000000" w:themeColor="text1"/>
                <w:spacing w:val="-4"/>
                <w:sz w:val="24"/>
                <w:szCs w:val="24"/>
              </w:rPr>
              <w:t>o rachunkowości</w:t>
            </w:r>
            <w:r w:rsidRPr="00670C2E">
              <w:rPr>
                <w:rFonts w:ascii="Times New Roman" w:hAnsi="Times New Roman"/>
                <w:color w:val="000000" w:themeColor="text1"/>
                <w:spacing w:val="-4"/>
                <w:sz w:val="24"/>
                <w:szCs w:val="24"/>
              </w:rPr>
              <w:t xml:space="preserve">. </w:t>
            </w:r>
          </w:p>
          <w:p w:rsidR="003838C8" w:rsidRPr="00670C2E" w:rsidRDefault="003838C8" w:rsidP="003B7B24">
            <w:pPr>
              <w:pStyle w:val="Akapitzlist"/>
              <w:numPr>
                <w:ilvl w:val="0"/>
                <w:numId w:val="27"/>
              </w:numPr>
              <w:spacing w:after="0" w:line="274" w:lineRule="auto"/>
              <w:ind w:left="141" w:right="-113" w:hanging="198"/>
              <w:outlineLvl w:val="0"/>
              <w:rPr>
                <w:rFonts w:ascii="Times New Roman" w:hAnsi="Times New Roman"/>
                <w:color w:val="000000" w:themeColor="text1"/>
                <w:sz w:val="24"/>
                <w:szCs w:val="24"/>
              </w:rPr>
            </w:pPr>
            <w:r w:rsidRPr="00670C2E">
              <w:rPr>
                <w:rFonts w:ascii="Times New Roman" w:hAnsi="Times New Roman"/>
                <w:color w:val="000000" w:themeColor="text1"/>
                <w:sz w:val="24"/>
                <w:szCs w:val="24"/>
              </w:rPr>
              <w:t>Przestrzeganie schematów księgowań przewidzianych w Zakładowym</w:t>
            </w:r>
            <w:r w:rsidRPr="00670C2E">
              <w:rPr>
                <w:rFonts w:ascii="Times New Roman" w:hAnsi="Times New Roman"/>
                <w:color w:val="000000" w:themeColor="text1"/>
                <w:spacing w:val="-6"/>
                <w:sz w:val="24"/>
                <w:szCs w:val="24"/>
              </w:rPr>
              <w:t xml:space="preserve"> </w:t>
            </w:r>
            <w:r w:rsidRPr="00670C2E">
              <w:rPr>
                <w:rFonts w:ascii="Times New Roman" w:hAnsi="Times New Roman"/>
                <w:color w:val="000000" w:themeColor="text1"/>
                <w:sz w:val="24"/>
                <w:szCs w:val="24"/>
              </w:rPr>
              <w:t>Planie Kont, a w szczególności dokonywania księgowań operacji gospodarczych</w:t>
            </w:r>
            <w:r w:rsidRPr="00670C2E">
              <w:rPr>
                <w:rFonts w:ascii="Times New Roman" w:hAnsi="Times New Roman"/>
                <w:color w:val="000000" w:themeColor="text1"/>
                <w:spacing w:val="-6"/>
                <w:sz w:val="24"/>
                <w:szCs w:val="24"/>
              </w:rPr>
              <w:t xml:space="preserve"> </w:t>
            </w:r>
            <w:r w:rsidRPr="00670C2E">
              <w:rPr>
                <w:rFonts w:ascii="Times New Roman" w:hAnsi="Times New Roman"/>
                <w:color w:val="000000" w:themeColor="text1"/>
                <w:sz w:val="24"/>
                <w:szCs w:val="24"/>
              </w:rPr>
              <w:t xml:space="preserve">z wykorzystaniem kont zespołu 2 </w:t>
            </w:r>
            <w:r w:rsidR="00E7219B" w:rsidRPr="00670C2E">
              <w:rPr>
                <w:rFonts w:ascii="Times New Roman" w:hAnsi="Times New Roman"/>
                <w:color w:val="000000" w:themeColor="text1"/>
                <w:sz w:val="24"/>
                <w:szCs w:val="24"/>
              </w:rPr>
              <w:t>-</w:t>
            </w:r>
            <w:r w:rsidRPr="00670C2E">
              <w:rPr>
                <w:rFonts w:ascii="Times New Roman" w:hAnsi="Times New Roman"/>
                <w:color w:val="000000" w:themeColor="text1"/>
                <w:sz w:val="24"/>
                <w:szCs w:val="24"/>
              </w:rPr>
              <w:t xml:space="preserve"> Rozrachunki </w:t>
            </w:r>
            <w:r w:rsidR="00670C2E">
              <w:rPr>
                <w:rFonts w:ascii="Times New Roman" w:hAnsi="Times New Roman"/>
                <w:color w:val="000000" w:themeColor="text1"/>
                <w:sz w:val="24"/>
                <w:szCs w:val="24"/>
              </w:rPr>
              <w:br/>
            </w:r>
            <w:r w:rsidRPr="00670C2E">
              <w:rPr>
                <w:rFonts w:ascii="Times New Roman" w:hAnsi="Times New Roman"/>
                <w:color w:val="000000" w:themeColor="text1"/>
                <w:sz w:val="24"/>
                <w:szCs w:val="24"/>
              </w:rPr>
              <w:t>i rozliczenia.</w:t>
            </w:r>
            <w:bookmarkStart w:id="2" w:name="_GoBack"/>
            <w:bookmarkEnd w:id="2"/>
          </w:p>
          <w:p w:rsidR="003A245F" w:rsidRPr="00670C2E" w:rsidRDefault="003838C8" w:rsidP="003B7B24">
            <w:pPr>
              <w:pStyle w:val="Akapitzlist"/>
              <w:numPr>
                <w:ilvl w:val="0"/>
                <w:numId w:val="27"/>
              </w:numPr>
              <w:spacing w:after="0" w:line="274" w:lineRule="auto"/>
              <w:ind w:left="141" w:right="-113" w:hanging="198"/>
              <w:outlineLvl w:val="0"/>
              <w:rPr>
                <w:rFonts w:ascii="Times New Roman" w:hAnsi="Times New Roman"/>
                <w:color w:val="000000" w:themeColor="text1"/>
                <w:sz w:val="24"/>
                <w:szCs w:val="24"/>
              </w:rPr>
            </w:pPr>
            <w:r w:rsidRPr="00670C2E">
              <w:rPr>
                <w:rFonts w:ascii="Times New Roman" w:hAnsi="Times New Roman"/>
                <w:color w:val="000000" w:themeColor="text1"/>
                <w:sz w:val="24"/>
                <w:szCs w:val="24"/>
              </w:rPr>
              <w:t xml:space="preserve">Staranniejszej kontroli merytorycznej i formalno-rachunkowej dowodów księgowych stanowiących podstawę do ubiegania się przez funkcjonariusza Policji o zrefundowanie kosztów zakupu okularów </w:t>
            </w:r>
            <w:r w:rsidR="00670C2E">
              <w:rPr>
                <w:rFonts w:ascii="Times New Roman" w:hAnsi="Times New Roman"/>
                <w:color w:val="000000" w:themeColor="text1"/>
                <w:sz w:val="24"/>
                <w:szCs w:val="24"/>
              </w:rPr>
              <w:br/>
            </w:r>
            <w:r w:rsidRPr="00670C2E">
              <w:rPr>
                <w:rFonts w:ascii="Times New Roman" w:hAnsi="Times New Roman"/>
                <w:color w:val="000000" w:themeColor="text1"/>
                <w:sz w:val="24"/>
                <w:szCs w:val="24"/>
              </w:rPr>
              <w:t>do pracy przy monitorze ekranowym.</w:t>
            </w:r>
          </w:p>
        </w:tc>
      </w:tr>
      <w:bookmarkEnd w:id="0"/>
    </w:tbl>
    <w:p w:rsidR="00AF7E8F" w:rsidRPr="007372B0" w:rsidRDefault="00AF7E8F" w:rsidP="007372B0">
      <w:pPr>
        <w:spacing w:after="0" w:line="240" w:lineRule="auto"/>
        <w:outlineLvl w:val="0"/>
        <w:rPr>
          <w:rFonts w:ascii="Times New Roman" w:hAnsi="Times New Roman"/>
          <w:color w:val="000000" w:themeColor="text1"/>
          <w:sz w:val="4"/>
          <w:szCs w:val="4"/>
        </w:rPr>
      </w:pPr>
    </w:p>
    <w:sectPr w:rsidR="00AF7E8F" w:rsidRPr="007372B0" w:rsidSect="00670C2E">
      <w:pgSz w:w="11906" w:h="16838" w:code="9"/>
      <w:pgMar w:top="851" w:right="136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0CA" w:rsidRDefault="00D060CA" w:rsidP="009A475D">
      <w:pPr>
        <w:spacing w:after="0" w:line="240" w:lineRule="auto"/>
      </w:pPr>
      <w:r>
        <w:separator/>
      </w:r>
    </w:p>
  </w:endnote>
  <w:endnote w:type="continuationSeparator" w:id="0">
    <w:p w:rsidR="00D060CA" w:rsidRDefault="00D060CA" w:rsidP="009A4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0CA" w:rsidRDefault="00D060CA" w:rsidP="009A475D">
      <w:pPr>
        <w:spacing w:after="0" w:line="240" w:lineRule="auto"/>
      </w:pPr>
      <w:r>
        <w:separator/>
      </w:r>
    </w:p>
  </w:footnote>
  <w:footnote w:type="continuationSeparator" w:id="0">
    <w:p w:rsidR="00D060CA" w:rsidRDefault="00D060CA" w:rsidP="009A4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740F"/>
    <w:multiLevelType w:val="hybridMultilevel"/>
    <w:tmpl w:val="45203F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74EF6"/>
    <w:multiLevelType w:val="hybridMultilevel"/>
    <w:tmpl w:val="9DDA2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12FB3"/>
    <w:multiLevelType w:val="hybridMultilevel"/>
    <w:tmpl w:val="6456A8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98247B"/>
    <w:multiLevelType w:val="multilevel"/>
    <w:tmpl w:val="CAD6F502"/>
    <w:lvl w:ilvl="0">
      <w:start w:val="1"/>
      <w:numFmt w:val="decimal"/>
      <w:lvlText w:val="%1."/>
      <w:lvlJc w:val="left"/>
      <w:pPr>
        <w:ind w:left="360" w:hanging="360"/>
      </w:pPr>
      <w:rPr>
        <w:rFonts w:hint="default"/>
        <w:b w:val="0"/>
        <w:i w:val="0"/>
      </w:rPr>
    </w:lvl>
    <w:lvl w:ilvl="1">
      <w:start w:val="1"/>
      <w:numFmt w:val="decimal"/>
      <w:isLgl/>
      <w:lvlText w:val="%1.%2"/>
      <w:lvlJc w:val="left"/>
      <w:pPr>
        <w:ind w:left="456" w:hanging="456"/>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28B069E"/>
    <w:multiLevelType w:val="hybridMultilevel"/>
    <w:tmpl w:val="037AC1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B4730E"/>
    <w:multiLevelType w:val="hybridMultilevel"/>
    <w:tmpl w:val="037AC1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162E63"/>
    <w:multiLevelType w:val="hybridMultilevel"/>
    <w:tmpl w:val="7F8EF746"/>
    <w:lvl w:ilvl="0" w:tplc="5558953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222323"/>
    <w:multiLevelType w:val="hybridMultilevel"/>
    <w:tmpl w:val="B3123980"/>
    <w:lvl w:ilvl="0" w:tplc="434C331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0B47C1"/>
    <w:multiLevelType w:val="multilevel"/>
    <w:tmpl w:val="DDFA7FFA"/>
    <w:lvl w:ilvl="0">
      <w:start w:val="1"/>
      <w:numFmt w:val="bullet"/>
      <w:lvlText w:val=""/>
      <w:lvlJc w:val="left"/>
      <w:pPr>
        <w:ind w:left="814" w:hanging="360"/>
      </w:pPr>
      <w:rPr>
        <w:rFonts w:ascii="Symbol" w:hAnsi="Symbol" w:hint="default"/>
      </w:r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9" w15:restartNumberingAfterBreak="0">
    <w:nsid w:val="238A0CDD"/>
    <w:multiLevelType w:val="hybridMultilevel"/>
    <w:tmpl w:val="46C8CE98"/>
    <w:lvl w:ilvl="0" w:tplc="E09A2598">
      <w:start w:val="1"/>
      <w:numFmt w:val="decimal"/>
      <w:lvlText w:val="%1."/>
      <w:lvlJc w:val="left"/>
      <w:pPr>
        <w:ind w:left="680" w:hanging="360"/>
      </w:pPr>
      <w:rPr>
        <w:sz w:val="22"/>
        <w:szCs w:val="22"/>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0" w15:restartNumberingAfterBreak="0">
    <w:nsid w:val="2F4705E1"/>
    <w:multiLevelType w:val="hybridMultilevel"/>
    <w:tmpl w:val="760C0D40"/>
    <w:lvl w:ilvl="0" w:tplc="B2701578">
      <w:start w:val="1"/>
      <w:numFmt w:val="bullet"/>
      <w:lvlText w:val=""/>
      <w:lvlJc w:val="left"/>
      <w:pPr>
        <w:ind w:left="786"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FE35F97"/>
    <w:multiLevelType w:val="hybridMultilevel"/>
    <w:tmpl w:val="01F0B30E"/>
    <w:lvl w:ilvl="0" w:tplc="CF326F36">
      <w:start w:val="1"/>
      <w:numFmt w:val="decimal"/>
      <w:lvlText w:val="%1."/>
      <w:lvlJc w:val="left"/>
      <w:pPr>
        <w:ind w:left="360" w:hanging="360"/>
      </w:pPr>
      <w:rPr>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494505D"/>
    <w:multiLevelType w:val="hybridMultilevel"/>
    <w:tmpl w:val="080AD5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622D69"/>
    <w:multiLevelType w:val="hybridMultilevel"/>
    <w:tmpl w:val="9DDA2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7E1F00"/>
    <w:multiLevelType w:val="hybridMultilevel"/>
    <w:tmpl w:val="46988A0C"/>
    <w:lvl w:ilvl="0" w:tplc="0415000F">
      <w:start w:val="1"/>
      <w:numFmt w:val="decimal"/>
      <w:lvlText w:val="%1."/>
      <w:lvlJc w:val="left"/>
      <w:pPr>
        <w:ind w:left="779" w:hanging="360"/>
      </w:pPr>
      <w:rPr>
        <w:rFonts w:hint="default"/>
        <w:color w:val="auto"/>
      </w:rPr>
    </w:lvl>
    <w:lvl w:ilvl="1" w:tplc="04150019" w:tentative="1">
      <w:start w:val="1"/>
      <w:numFmt w:val="lowerLetter"/>
      <w:lvlText w:val="%2."/>
      <w:lvlJc w:val="left"/>
      <w:pPr>
        <w:ind w:left="1499" w:hanging="360"/>
      </w:pPr>
    </w:lvl>
    <w:lvl w:ilvl="2" w:tplc="0415001B" w:tentative="1">
      <w:start w:val="1"/>
      <w:numFmt w:val="lowerRoman"/>
      <w:lvlText w:val="%3."/>
      <w:lvlJc w:val="right"/>
      <w:pPr>
        <w:ind w:left="2219" w:hanging="180"/>
      </w:pPr>
    </w:lvl>
    <w:lvl w:ilvl="3" w:tplc="0415000F" w:tentative="1">
      <w:start w:val="1"/>
      <w:numFmt w:val="decimal"/>
      <w:lvlText w:val="%4."/>
      <w:lvlJc w:val="left"/>
      <w:pPr>
        <w:ind w:left="2939" w:hanging="360"/>
      </w:pPr>
    </w:lvl>
    <w:lvl w:ilvl="4" w:tplc="04150019" w:tentative="1">
      <w:start w:val="1"/>
      <w:numFmt w:val="lowerLetter"/>
      <w:lvlText w:val="%5."/>
      <w:lvlJc w:val="left"/>
      <w:pPr>
        <w:ind w:left="3659" w:hanging="360"/>
      </w:pPr>
    </w:lvl>
    <w:lvl w:ilvl="5" w:tplc="0415001B" w:tentative="1">
      <w:start w:val="1"/>
      <w:numFmt w:val="lowerRoman"/>
      <w:lvlText w:val="%6."/>
      <w:lvlJc w:val="right"/>
      <w:pPr>
        <w:ind w:left="4379" w:hanging="180"/>
      </w:pPr>
    </w:lvl>
    <w:lvl w:ilvl="6" w:tplc="0415000F" w:tentative="1">
      <w:start w:val="1"/>
      <w:numFmt w:val="decimal"/>
      <w:lvlText w:val="%7."/>
      <w:lvlJc w:val="left"/>
      <w:pPr>
        <w:ind w:left="5099" w:hanging="360"/>
      </w:pPr>
    </w:lvl>
    <w:lvl w:ilvl="7" w:tplc="04150019" w:tentative="1">
      <w:start w:val="1"/>
      <w:numFmt w:val="lowerLetter"/>
      <w:lvlText w:val="%8."/>
      <w:lvlJc w:val="left"/>
      <w:pPr>
        <w:ind w:left="5819" w:hanging="360"/>
      </w:pPr>
    </w:lvl>
    <w:lvl w:ilvl="8" w:tplc="0415001B" w:tentative="1">
      <w:start w:val="1"/>
      <w:numFmt w:val="lowerRoman"/>
      <w:lvlText w:val="%9."/>
      <w:lvlJc w:val="right"/>
      <w:pPr>
        <w:ind w:left="6539" w:hanging="180"/>
      </w:pPr>
    </w:lvl>
  </w:abstractNum>
  <w:abstractNum w:abstractNumId="15" w15:restartNumberingAfterBreak="0">
    <w:nsid w:val="46F85962"/>
    <w:multiLevelType w:val="hybridMultilevel"/>
    <w:tmpl w:val="917CD7BA"/>
    <w:lvl w:ilvl="0" w:tplc="6F22DFA2">
      <w:start w:val="1"/>
      <w:numFmt w:val="bullet"/>
      <w:lvlText w:val="–"/>
      <w:lvlJc w:val="left"/>
      <w:pPr>
        <w:ind w:left="1174" w:hanging="360"/>
      </w:pPr>
      <w:rPr>
        <w:rFonts w:ascii="Times New Roman" w:hAnsi="Times New Roman" w:cs="Times New Roman" w:hint="default"/>
        <w:sz w:val="16"/>
        <w:szCs w:val="16"/>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16" w15:restartNumberingAfterBreak="0">
    <w:nsid w:val="4EF84755"/>
    <w:multiLevelType w:val="hybridMultilevel"/>
    <w:tmpl w:val="7A488040"/>
    <w:lvl w:ilvl="0" w:tplc="E09A2598">
      <w:start w:val="1"/>
      <w:numFmt w:val="decimal"/>
      <w:lvlText w:val="%1."/>
      <w:lvlJc w:val="left"/>
      <w:pPr>
        <w:ind w:left="692"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8442EF"/>
    <w:multiLevelType w:val="hybridMultilevel"/>
    <w:tmpl w:val="1E0ADE04"/>
    <w:lvl w:ilvl="0" w:tplc="E09A2598">
      <w:start w:val="1"/>
      <w:numFmt w:val="decimal"/>
      <w:lvlText w:val="%1."/>
      <w:lvlJc w:val="left"/>
      <w:pPr>
        <w:ind w:left="692" w:hanging="360"/>
      </w:pPr>
      <w:rPr>
        <w:sz w:val="22"/>
        <w:szCs w:val="22"/>
      </w:rPr>
    </w:lvl>
    <w:lvl w:ilvl="1" w:tplc="04150019" w:tentative="1">
      <w:start w:val="1"/>
      <w:numFmt w:val="lowerLetter"/>
      <w:lvlText w:val="%2."/>
      <w:lvlJc w:val="left"/>
      <w:pPr>
        <w:ind w:left="1412" w:hanging="360"/>
      </w:pPr>
    </w:lvl>
    <w:lvl w:ilvl="2" w:tplc="0415001B" w:tentative="1">
      <w:start w:val="1"/>
      <w:numFmt w:val="lowerRoman"/>
      <w:lvlText w:val="%3."/>
      <w:lvlJc w:val="right"/>
      <w:pPr>
        <w:ind w:left="2132" w:hanging="180"/>
      </w:pPr>
    </w:lvl>
    <w:lvl w:ilvl="3" w:tplc="0415000F" w:tentative="1">
      <w:start w:val="1"/>
      <w:numFmt w:val="decimal"/>
      <w:lvlText w:val="%4."/>
      <w:lvlJc w:val="left"/>
      <w:pPr>
        <w:ind w:left="2852" w:hanging="360"/>
      </w:pPr>
    </w:lvl>
    <w:lvl w:ilvl="4" w:tplc="04150019" w:tentative="1">
      <w:start w:val="1"/>
      <w:numFmt w:val="lowerLetter"/>
      <w:lvlText w:val="%5."/>
      <w:lvlJc w:val="left"/>
      <w:pPr>
        <w:ind w:left="3572" w:hanging="360"/>
      </w:pPr>
    </w:lvl>
    <w:lvl w:ilvl="5" w:tplc="0415001B" w:tentative="1">
      <w:start w:val="1"/>
      <w:numFmt w:val="lowerRoman"/>
      <w:lvlText w:val="%6."/>
      <w:lvlJc w:val="right"/>
      <w:pPr>
        <w:ind w:left="4292" w:hanging="180"/>
      </w:pPr>
    </w:lvl>
    <w:lvl w:ilvl="6" w:tplc="0415000F" w:tentative="1">
      <w:start w:val="1"/>
      <w:numFmt w:val="decimal"/>
      <w:lvlText w:val="%7."/>
      <w:lvlJc w:val="left"/>
      <w:pPr>
        <w:ind w:left="5012" w:hanging="360"/>
      </w:pPr>
    </w:lvl>
    <w:lvl w:ilvl="7" w:tplc="04150019" w:tentative="1">
      <w:start w:val="1"/>
      <w:numFmt w:val="lowerLetter"/>
      <w:lvlText w:val="%8."/>
      <w:lvlJc w:val="left"/>
      <w:pPr>
        <w:ind w:left="5732" w:hanging="360"/>
      </w:pPr>
    </w:lvl>
    <w:lvl w:ilvl="8" w:tplc="0415001B" w:tentative="1">
      <w:start w:val="1"/>
      <w:numFmt w:val="lowerRoman"/>
      <w:lvlText w:val="%9."/>
      <w:lvlJc w:val="right"/>
      <w:pPr>
        <w:ind w:left="6452" w:hanging="180"/>
      </w:pPr>
    </w:lvl>
  </w:abstractNum>
  <w:abstractNum w:abstractNumId="18" w15:restartNumberingAfterBreak="0">
    <w:nsid w:val="5C516820"/>
    <w:multiLevelType w:val="hybridMultilevel"/>
    <w:tmpl w:val="AF6E9CDC"/>
    <w:lvl w:ilvl="0" w:tplc="0AAE30F6">
      <w:start w:val="1"/>
      <w:numFmt w:val="decimal"/>
      <w:lvlText w:val="%1."/>
      <w:lvlJc w:val="left"/>
      <w:pPr>
        <w:ind w:left="360" w:hanging="360"/>
      </w:pPr>
      <w:rPr>
        <w:color w:val="auto"/>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9" w15:restartNumberingAfterBreak="0">
    <w:nsid w:val="5DBE7AB7"/>
    <w:multiLevelType w:val="hybridMultilevel"/>
    <w:tmpl w:val="080AD5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C63290"/>
    <w:multiLevelType w:val="hybridMultilevel"/>
    <w:tmpl w:val="9DDA2C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F37A42"/>
    <w:multiLevelType w:val="multilevel"/>
    <w:tmpl w:val="2B8E4F1A"/>
    <w:lvl w:ilvl="0">
      <w:start w:val="1"/>
      <w:numFmt w:val="decimal"/>
      <w:lvlText w:val="%1."/>
      <w:lvlJc w:val="left"/>
      <w:pPr>
        <w:ind w:left="72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73E1061"/>
    <w:multiLevelType w:val="multilevel"/>
    <w:tmpl w:val="4BEE61AC"/>
    <w:lvl w:ilvl="0">
      <w:start w:val="1"/>
      <w:numFmt w:val="decimal"/>
      <w:lvlText w:val="%1."/>
      <w:lvlJc w:val="left"/>
      <w:pPr>
        <w:ind w:left="360" w:hanging="360"/>
      </w:pPr>
      <w:rPr>
        <w:b w:val="0"/>
        <w:i w:val="0"/>
      </w:rPr>
    </w:lvl>
    <w:lvl w:ilvl="1">
      <w:start w:val="3"/>
      <w:numFmt w:val="decimal"/>
      <w:isLgl/>
      <w:lvlText w:val="%1.%2"/>
      <w:lvlJc w:val="left"/>
      <w:pPr>
        <w:ind w:left="456" w:hanging="45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F5615FD"/>
    <w:multiLevelType w:val="hybridMultilevel"/>
    <w:tmpl w:val="67849A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32F1F5B"/>
    <w:multiLevelType w:val="multilevel"/>
    <w:tmpl w:val="559CDAA2"/>
    <w:lvl w:ilvl="0">
      <w:start w:val="1"/>
      <w:numFmt w:val="decimal"/>
      <w:lvlText w:val="%1."/>
      <w:lvlJc w:val="left"/>
      <w:pPr>
        <w:ind w:left="2794" w:hanging="360"/>
      </w:pPr>
    </w:lvl>
    <w:lvl w:ilvl="1">
      <w:start w:val="1"/>
      <w:numFmt w:val="lowerLetter"/>
      <w:lvlText w:val="%2."/>
      <w:lvlJc w:val="left"/>
      <w:pPr>
        <w:ind w:left="3514" w:hanging="360"/>
      </w:pPr>
    </w:lvl>
    <w:lvl w:ilvl="2">
      <w:start w:val="1"/>
      <w:numFmt w:val="lowerRoman"/>
      <w:lvlText w:val="%3."/>
      <w:lvlJc w:val="right"/>
      <w:pPr>
        <w:ind w:left="4234" w:hanging="180"/>
      </w:pPr>
    </w:lvl>
    <w:lvl w:ilvl="3">
      <w:start w:val="1"/>
      <w:numFmt w:val="decimal"/>
      <w:lvlText w:val="%4."/>
      <w:lvlJc w:val="left"/>
      <w:pPr>
        <w:ind w:left="4954" w:hanging="360"/>
      </w:pPr>
    </w:lvl>
    <w:lvl w:ilvl="4">
      <w:start w:val="1"/>
      <w:numFmt w:val="lowerLetter"/>
      <w:lvlText w:val="%5."/>
      <w:lvlJc w:val="left"/>
      <w:pPr>
        <w:ind w:left="5674" w:hanging="360"/>
      </w:pPr>
    </w:lvl>
    <w:lvl w:ilvl="5">
      <w:start w:val="1"/>
      <w:numFmt w:val="lowerRoman"/>
      <w:lvlText w:val="%6."/>
      <w:lvlJc w:val="right"/>
      <w:pPr>
        <w:ind w:left="6394" w:hanging="180"/>
      </w:pPr>
    </w:lvl>
    <w:lvl w:ilvl="6">
      <w:start w:val="1"/>
      <w:numFmt w:val="decimal"/>
      <w:lvlText w:val="%7."/>
      <w:lvlJc w:val="left"/>
      <w:pPr>
        <w:ind w:left="7114" w:hanging="360"/>
      </w:pPr>
    </w:lvl>
    <w:lvl w:ilvl="7">
      <w:start w:val="1"/>
      <w:numFmt w:val="lowerLetter"/>
      <w:lvlText w:val="%8."/>
      <w:lvlJc w:val="left"/>
      <w:pPr>
        <w:ind w:left="7834" w:hanging="360"/>
      </w:pPr>
    </w:lvl>
    <w:lvl w:ilvl="8">
      <w:start w:val="1"/>
      <w:numFmt w:val="lowerRoman"/>
      <w:lvlText w:val="%9."/>
      <w:lvlJc w:val="right"/>
      <w:pPr>
        <w:ind w:left="8554" w:hanging="180"/>
      </w:pPr>
    </w:lvl>
  </w:abstractNum>
  <w:abstractNum w:abstractNumId="25" w15:restartNumberingAfterBreak="0">
    <w:nsid w:val="736079FD"/>
    <w:multiLevelType w:val="hybridMultilevel"/>
    <w:tmpl w:val="11AE801A"/>
    <w:lvl w:ilvl="0" w:tplc="D194AEDA">
      <w:start w:val="1"/>
      <w:numFmt w:val="bullet"/>
      <w:lvlText w:val=""/>
      <w:lvlJc w:val="left"/>
      <w:pPr>
        <w:ind w:left="1174" w:hanging="360"/>
      </w:pPr>
      <w:rPr>
        <w:rFonts w:ascii="Wingdings" w:hAnsi="Wingdings" w:hint="default"/>
        <w:sz w:val="16"/>
        <w:szCs w:val="16"/>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num w:numId="1">
    <w:abstractNumId w:val="23"/>
  </w:num>
  <w:num w:numId="2">
    <w:abstractNumId w:val="14"/>
  </w:num>
  <w:num w:numId="3">
    <w:abstractNumId w:val="0"/>
  </w:num>
  <w:num w:numId="4">
    <w:abstractNumId w:val="1"/>
  </w:num>
  <w:num w:numId="5">
    <w:abstractNumId w:val="1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num>
  <w:num w:numId="9">
    <w:abstractNumId w:val="7"/>
  </w:num>
  <w:num w:numId="10">
    <w:abstractNumId w:val="2"/>
  </w:num>
  <w:num w:numId="11">
    <w:abstractNumId w:val="19"/>
  </w:num>
  <w:num w:numId="12">
    <w:abstractNumId w:val="20"/>
  </w:num>
  <w:num w:numId="13">
    <w:abstractNumId w:val="11"/>
  </w:num>
  <w:num w:numId="14">
    <w:abstractNumId w:val="12"/>
  </w:num>
  <w:num w:numId="15">
    <w:abstractNumId w:val="4"/>
  </w:num>
  <w:num w:numId="16">
    <w:abstractNumId w:val="21"/>
  </w:num>
  <w:num w:numId="17">
    <w:abstractNumId w:val="24"/>
  </w:num>
  <w:num w:numId="18">
    <w:abstractNumId w:val="8"/>
  </w:num>
  <w:num w:numId="19">
    <w:abstractNumId w:val="5"/>
  </w:num>
  <w:num w:numId="20">
    <w:abstractNumId w:val="6"/>
  </w:num>
  <w:num w:numId="21">
    <w:abstractNumId w:val="22"/>
  </w:num>
  <w:num w:numId="22">
    <w:abstractNumId w:val="3"/>
  </w:num>
  <w:num w:numId="23">
    <w:abstractNumId w:val="25"/>
  </w:num>
  <w:num w:numId="24">
    <w:abstractNumId w:val="15"/>
  </w:num>
  <w:num w:numId="25">
    <w:abstractNumId w:val="17"/>
  </w:num>
  <w:num w:numId="26">
    <w:abstractNumId w:val="1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5B"/>
    <w:rsid w:val="0000721D"/>
    <w:rsid w:val="00012FCE"/>
    <w:rsid w:val="00032C63"/>
    <w:rsid w:val="0006012B"/>
    <w:rsid w:val="00073B8F"/>
    <w:rsid w:val="00076C3A"/>
    <w:rsid w:val="000939E5"/>
    <w:rsid w:val="000A2B69"/>
    <w:rsid w:val="000A5C8F"/>
    <w:rsid w:val="000A71E2"/>
    <w:rsid w:val="000E3EE6"/>
    <w:rsid w:val="000F24D3"/>
    <w:rsid w:val="001042F9"/>
    <w:rsid w:val="00126E5C"/>
    <w:rsid w:val="00132E66"/>
    <w:rsid w:val="00140EA9"/>
    <w:rsid w:val="00166EEE"/>
    <w:rsid w:val="001961CA"/>
    <w:rsid w:val="001B212A"/>
    <w:rsid w:val="001C4ED0"/>
    <w:rsid w:val="001D7FD6"/>
    <w:rsid w:val="001E45A0"/>
    <w:rsid w:val="001E65A6"/>
    <w:rsid w:val="001F7F40"/>
    <w:rsid w:val="00210188"/>
    <w:rsid w:val="00231BB9"/>
    <w:rsid w:val="00233B4A"/>
    <w:rsid w:val="00253033"/>
    <w:rsid w:val="00261BAF"/>
    <w:rsid w:val="002910E6"/>
    <w:rsid w:val="002B7262"/>
    <w:rsid w:val="002D241C"/>
    <w:rsid w:val="002D75CE"/>
    <w:rsid w:val="002D7D6E"/>
    <w:rsid w:val="002E4BD5"/>
    <w:rsid w:val="00321062"/>
    <w:rsid w:val="0032357A"/>
    <w:rsid w:val="00334DDF"/>
    <w:rsid w:val="00336F09"/>
    <w:rsid w:val="00345A43"/>
    <w:rsid w:val="00345B02"/>
    <w:rsid w:val="0035073A"/>
    <w:rsid w:val="00361BBC"/>
    <w:rsid w:val="003738CD"/>
    <w:rsid w:val="003838C8"/>
    <w:rsid w:val="00386139"/>
    <w:rsid w:val="00386425"/>
    <w:rsid w:val="003A0830"/>
    <w:rsid w:val="003A245F"/>
    <w:rsid w:val="003B7B24"/>
    <w:rsid w:val="003C7397"/>
    <w:rsid w:val="003D31BA"/>
    <w:rsid w:val="004028A2"/>
    <w:rsid w:val="00402EC0"/>
    <w:rsid w:val="00411EEE"/>
    <w:rsid w:val="00416C8C"/>
    <w:rsid w:val="0043613E"/>
    <w:rsid w:val="00475665"/>
    <w:rsid w:val="00484237"/>
    <w:rsid w:val="004B27F3"/>
    <w:rsid w:val="004B770F"/>
    <w:rsid w:val="004C197E"/>
    <w:rsid w:val="004C3EFA"/>
    <w:rsid w:val="004D498A"/>
    <w:rsid w:val="004E09EA"/>
    <w:rsid w:val="004E20E8"/>
    <w:rsid w:val="004E3DAA"/>
    <w:rsid w:val="00501082"/>
    <w:rsid w:val="0050193F"/>
    <w:rsid w:val="005539C0"/>
    <w:rsid w:val="00553BB4"/>
    <w:rsid w:val="00565DB0"/>
    <w:rsid w:val="00567041"/>
    <w:rsid w:val="00592D30"/>
    <w:rsid w:val="00595532"/>
    <w:rsid w:val="005D007E"/>
    <w:rsid w:val="005D2813"/>
    <w:rsid w:val="005E2052"/>
    <w:rsid w:val="005E3994"/>
    <w:rsid w:val="005F3BBC"/>
    <w:rsid w:val="00600279"/>
    <w:rsid w:val="00616FCD"/>
    <w:rsid w:val="0063027B"/>
    <w:rsid w:val="00635AEC"/>
    <w:rsid w:val="00655B53"/>
    <w:rsid w:val="00666722"/>
    <w:rsid w:val="00670C2E"/>
    <w:rsid w:val="00683303"/>
    <w:rsid w:val="00684DB1"/>
    <w:rsid w:val="00690776"/>
    <w:rsid w:val="006A0A49"/>
    <w:rsid w:val="006D621C"/>
    <w:rsid w:val="006F2FC9"/>
    <w:rsid w:val="006F465D"/>
    <w:rsid w:val="007108C4"/>
    <w:rsid w:val="007302A2"/>
    <w:rsid w:val="007314A5"/>
    <w:rsid w:val="00733772"/>
    <w:rsid w:val="007372B0"/>
    <w:rsid w:val="007445FF"/>
    <w:rsid w:val="00744A30"/>
    <w:rsid w:val="00746D39"/>
    <w:rsid w:val="00753533"/>
    <w:rsid w:val="00763B32"/>
    <w:rsid w:val="007770DB"/>
    <w:rsid w:val="007837A5"/>
    <w:rsid w:val="00784094"/>
    <w:rsid w:val="00786DC6"/>
    <w:rsid w:val="0079752D"/>
    <w:rsid w:val="007A63D8"/>
    <w:rsid w:val="007B19F9"/>
    <w:rsid w:val="007B23A1"/>
    <w:rsid w:val="007B5906"/>
    <w:rsid w:val="007F30E2"/>
    <w:rsid w:val="00807933"/>
    <w:rsid w:val="00811E78"/>
    <w:rsid w:val="00820676"/>
    <w:rsid w:val="0083005B"/>
    <w:rsid w:val="008316EA"/>
    <w:rsid w:val="00842510"/>
    <w:rsid w:val="00842E5B"/>
    <w:rsid w:val="0085211B"/>
    <w:rsid w:val="008624E9"/>
    <w:rsid w:val="00875250"/>
    <w:rsid w:val="00895D5D"/>
    <w:rsid w:val="008A1A91"/>
    <w:rsid w:val="008A2AAE"/>
    <w:rsid w:val="008A631F"/>
    <w:rsid w:val="008B25E4"/>
    <w:rsid w:val="008B37C8"/>
    <w:rsid w:val="008C0690"/>
    <w:rsid w:val="008D258B"/>
    <w:rsid w:val="008E07C6"/>
    <w:rsid w:val="008E7430"/>
    <w:rsid w:val="008F0E57"/>
    <w:rsid w:val="00903034"/>
    <w:rsid w:val="009112ED"/>
    <w:rsid w:val="00913289"/>
    <w:rsid w:val="00925953"/>
    <w:rsid w:val="00945321"/>
    <w:rsid w:val="00995FF5"/>
    <w:rsid w:val="009A475D"/>
    <w:rsid w:val="009A7D24"/>
    <w:rsid w:val="009B3CB5"/>
    <w:rsid w:val="009B4F25"/>
    <w:rsid w:val="009B633F"/>
    <w:rsid w:val="009D0434"/>
    <w:rsid w:val="009D3C02"/>
    <w:rsid w:val="009D647C"/>
    <w:rsid w:val="00A00D34"/>
    <w:rsid w:val="00A15009"/>
    <w:rsid w:val="00A32A09"/>
    <w:rsid w:val="00A41D06"/>
    <w:rsid w:val="00A41F22"/>
    <w:rsid w:val="00A72AC2"/>
    <w:rsid w:val="00A73FC2"/>
    <w:rsid w:val="00A83447"/>
    <w:rsid w:val="00A975CF"/>
    <w:rsid w:val="00AA7DBB"/>
    <w:rsid w:val="00AB08F2"/>
    <w:rsid w:val="00AC3257"/>
    <w:rsid w:val="00AF16ED"/>
    <w:rsid w:val="00AF7E8F"/>
    <w:rsid w:val="00B0325D"/>
    <w:rsid w:val="00B205F2"/>
    <w:rsid w:val="00B2196A"/>
    <w:rsid w:val="00B22FB9"/>
    <w:rsid w:val="00B514DC"/>
    <w:rsid w:val="00B51729"/>
    <w:rsid w:val="00B67C8E"/>
    <w:rsid w:val="00B7200A"/>
    <w:rsid w:val="00B7208A"/>
    <w:rsid w:val="00B814B4"/>
    <w:rsid w:val="00B87BDA"/>
    <w:rsid w:val="00BA0BCC"/>
    <w:rsid w:val="00BA2ED2"/>
    <w:rsid w:val="00BE7424"/>
    <w:rsid w:val="00BF678D"/>
    <w:rsid w:val="00C22204"/>
    <w:rsid w:val="00C3138D"/>
    <w:rsid w:val="00C61438"/>
    <w:rsid w:val="00C63ECF"/>
    <w:rsid w:val="00C659CB"/>
    <w:rsid w:val="00C76DE0"/>
    <w:rsid w:val="00C777DA"/>
    <w:rsid w:val="00CB7B4D"/>
    <w:rsid w:val="00CD1D8F"/>
    <w:rsid w:val="00CE0360"/>
    <w:rsid w:val="00D060CA"/>
    <w:rsid w:val="00D13621"/>
    <w:rsid w:val="00D157E6"/>
    <w:rsid w:val="00D32CFB"/>
    <w:rsid w:val="00D36CE1"/>
    <w:rsid w:val="00D614AF"/>
    <w:rsid w:val="00D71A36"/>
    <w:rsid w:val="00D7470E"/>
    <w:rsid w:val="00DC6FD4"/>
    <w:rsid w:val="00E117B4"/>
    <w:rsid w:val="00E11941"/>
    <w:rsid w:val="00E1243E"/>
    <w:rsid w:val="00E14585"/>
    <w:rsid w:val="00E158E7"/>
    <w:rsid w:val="00E7219B"/>
    <w:rsid w:val="00EA6FD7"/>
    <w:rsid w:val="00EA72E2"/>
    <w:rsid w:val="00EC1EB2"/>
    <w:rsid w:val="00EC2FBA"/>
    <w:rsid w:val="00ED1A02"/>
    <w:rsid w:val="00ED6CDD"/>
    <w:rsid w:val="00F04751"/>
    <w:rsid w:val="00F14033"/>
    <w:rsid w:val="00F14092"/>
    <w:rsid w:val="00F17541"/>
    <w:rsid w:val="00F3340F"/>
    <w:rsid w:val="00F62764"/>
    <w:rsid w:val="00F71A53"/>
    <w:rsid w:val="00F73139"/>
    <w:rsid w:val="00FA09AC"/>
    <w:rsid w:val="00FA1025"/>
    <w:rsid w:val="00FF6D96"/>
    <w:rsid w:val="00FF71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75398-8DB5-43B4-A507-21611E41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qFormat/>
    <w:rsid w:val="009B633F"/>
    <w:pPr>
      <w:keepNext/>
      <w:spacing w:after="0" w:line="240" w:lineRule="auto"/>
      <w:outlineLvl w:val="0"/>
    </w:pPr>
    <w:rPr>
      <w:rFonts w:eastAsia="Times New Roman" w:cs="Calibri"/>
      <w:b/>
      <w:bCs/>
      <w:sz w:val="24"/>
      <w:szCs w:val="24"/>
      <w:lang w:bidi="hi-IN"/>
    </w:rPr>
  </w:style>
  <w:style w:type="paragraph" w:styleId="Nagwek2">
    <w:name w:val="heading 2"/>
    <w:basedOn w:val="Normalny"/>
    <w:next w:val="Normalny"/>
    <w:link w:val="Nagwek2Znak"/>
    <w:uiPriority w:val="9"/>
    <w:unhideWhenUsed/>
    <w:qFormat/>
    <w:rsid w:val="00B22F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42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875250"/>
    <w:pPr>
      <w:spacing w:after="0" w:line="240" w:lineRule="auto"/>
    </w:pPr>
    <w:rPr>
      <w:rFonts w:ascii="Segoe UI" w:hAnsi="Segoe UI"/>
      <w:sz w:val="18"/>
      <w:szCs w:val="18"/>
      <w:lang w:val="x-none" w:eastAsia="x-none"/>
    </w:rPr>
  </w:style>
  <w:style w:type="character" w:customStyle="1" w:styleId="TekstdymkaZnak">
    <w:name w:val="Tekst dymka Znak"/>
    <w:link w:val="Tekstdymka"/>
    <w:uiPriority w:val="99"/>
    <w:semiHidden/>
    <w:rsid w:val="00875250"/>
    <w:rPr>
      <w:rFonts w:ascii="Segoe UI" w:hAnsi="Segoe UI" w:cs="Segoe UI"/>
      <w:sz w:val="18"/>
      <w:szCs w:val="18"/>
    </w:rPr>
  </w:style>
  <w:style w:type="character" w:customStyle="1" w:styleId="Teksttreci2Kursywa">
    <w:name w:val="Tekst treści (2) + Kursywa"/>
    <w:rsid w:val="008F0E57"/>
    <w:rPr>
      <w:rFonts w:ascii="Calibri" w:eastAsia="Calibri" w:hAnsi="Calibri" w:cs="Calibri"/>
      <w:b w:val="0"/>
      <w:bCs w:val="0"/>
      <w:i/>
      <w:iCs/>
      <w:smallCaps w:val="0"/>
      <w:strike w:val="0"/>
      <w:spacing w:val="0"/>
      <w:sz w:val="21"/>
      <w:szCs w:val="21"/>
    </w:rPr>
  </w:style>
  <w:style w:type="character" w:customStyle="1" w:styleId="Teksttreci3">
    <w:name w:val="Tekst treści (3)_"/>
    <w:link w:val="Teksttreci30"/>
    <w:rsid w:val="008F0E57"/>
    <w:rPr>
      <w:rFonts w:cs="Calibri"/>
      <w:sz w:val="18"/>
      <w:szCs w:val="18"/>
      <w:shd w:val="clear" w:color="auto" w:fill="FFFFFF"/>
    </w:rPr>
  </w:style>
  <w:style w:type="character" w:customStyle="1" w:styleId="Teksttreci">
    <w:name w:val="Tekst treści_"/>
    <w:link w:val="Teksttreci0"/>
    <w:rsid w:val="008F0E57"/>
    <w:rPr>
      <w:rFonts w:cs="Calibri"/>
      <w:sz w:val="22"/>
      <w:szCs w:val="22"/>
      <w:shd w:val="clear" w:color="auto" w:fill="FFFFFF"/>
    </w:rPr>
  </w:style>
  <w:style w:type="character" w:customStyle="1" w:styleId="Teksttreci4">
    <w:name w:val="Tekst treści (4)_"/>
    <w:link w:val="Teksttreci40"/>
    <w:rsid w:val="008F0E57"/>
    <w:rPr>
      <w:rFonts w:cs="Calibri"/>
      <w:sz w:val="13"/>
      <w:szCs w:val="13"/>
      <w:shd w:val="clear" w:color="auto" w:fill="FFFFFF"/>
    </w:rPr>
  </w:style>
  <w:style w:type="character" w:customStyle="1" w:styleId="Teksttreci49pt">
    <w:name w:val="Tekst treści (4) + 9 pt"/>
    <w:rsid w:val="008F0E57"/>
    <w:rPr>
      <w:rFonts w:ascii="Calibri" w:eastAsia="Calibri" w:hAnsi="Calibri" w:cs="Calibri"/>
      <w:b w:val="0"/>
      <w:bCs w:val="0"/>
      <w:i w:val="0"/>
      <w:iCs w:val="0"/>
      <w:smallCaps w:val="0"/>
      <w:strike w:val="0"/>
      <w:spacing w:val="0"/>
      <w:sz w:val="18"/>
      <w:szCs w:val="18"/>
    </w:rPr>
  </w:style>
  <w:style w:type="character" w:customStyle="1" w:styleId="Teksttreci105ptKursywa">
    <w:name w:val="Tekst treści + 10;5 pt;Kursywa"/>
    <w:rsid w:val="008F0E57"/>
    <w:rPr>
      <w:rFonts w:ascii="Calibri" w:eastAsia="Calibri" w:hAnsi="Calibri" w:cs="Calibri"/>
      <w:b w:val="0"/>
      <w:bCs w:val="0"/>
      <w:i/>
      <w:iCs/>
      <w:smallCaps w:val="0"/>
      <w:strike w:val="0"/>
      <w:spacing w:val="0"/>
      <w:sz w:val="21"/>
      <w:szCs w:val="21"/>
    </w:rPr>
  </w:style>
  <w:style w:type="paragraph" w:customStyle="1" w:styleId="Teksttreci30">
    <w:name w:val="Tekst treści (3)"/>
    <w:basedOn w:val="Normalny"/>
    <w:link w:val="Teksttreci3"/>
    <w:rsid w:val="008F0E57"/>
    <w:pPr>
      <w:shd w:val="clear" w:color="auto" w:fill="FFFFFF"/>
      <w:spacing w:after="540" w:line="0" w:lineRule="atLeast"/>
    </w:pPr>
    <w:rPr>
      <w:rFonts w:cs="Calibri"/>
      <w:sz w:val="18"/>
      <w:szCs w:val="18"/>
      <w:lang w:eastAsia="pl-PL"/>
    </w:rPr>
  </w:style>
  <w:style w:type="paragraph" w:customStyle="1" w:styleId="Teksttreci0">
    <w:name w:val="Tekst treści"/>
    <w:basedOn w:val="Normalny"/>
    <w:link w:val="Teksttreci"/>
    <w:rsid w:val="008F0E57"/>
    <w:pPr>
      <w:shd w:val="clear" w:color="auto" w:fill="FFFFFF"/>
      <w:spacing w:before="360" w:after="180" w:line="266" w:lineRule="exact"/>
      <w:jc w:val="both"/>
    </w:pPr>
    <w:rPr>
      <w:rFonts w:cs="Calibri"/>
      <w:lang w:eastAsia="pl-PL"/>
    </w:rPr>
  </w:style>
  <w:style w:type="paragraph" w:customStyle="1" w:styleId="Teksttreci40">
    <w:name w:val="Tekst treści (4)"/>
    <w:basedOn w:val="Normalny"/>
    <w:link w:val="Teksttreci4"/>
    <w:rsid w:val="008F0E57"/>
    <w:pPr>
      <w:shd w:val="clear" w:color="auto" w:fill="FFFFFF"/>
      <w:spacing w:after="0" w:line="180" w:lineRule="exact"/>
      <w:jc w:val="right"/>
    </w:pPr>
    <w:rPr>
      <w:rFonts w:cs="Calibri"/>
      <w:sz w:val="13"/>
      <w:szCs w:val="13"/>
      <w:lang w:eastAsia="pl-PL"/>
    </w:rPr>
  </w:style>
  <w:style w:type="character" w:customStyle="1" w:styleId="Teksttreci2">
    <w:name w:val="Tekst treści (2)_"/>
    <w:link w:val="Teksttreci20"/>
    <w:rsid w:val="007770DB"/>
    <w:rPr>
      <w:rFonts w:cs="Calibri"/>
      <w:shd w:val="clear" w:color="auto" w:fill="FFFFFF"/>
    </w:rPr>
  </w:style>
  <w:style w:type="paragraph" w:customStyle="1" w:styleId="Teksttreci20">
    <w:name w:val="Tekst treści (2)"/>
    <w:basedOn w:val="Normalny"/>
    <w:link w:val="Teksttreci2"/>
    <w:rsid w:val="007770DB"/>
    <w:pPr>
      <w:shd w:val="clear" w:color="auto" w:fill="FFFFFF"/>
      <w:spacing w:before="840" w:after="240" w:line="266" w:lineRule="exact"/>
      <w:jc w:val="both"/>
    </w:pPr>
    <w:rPr>
      <w:rFonts w:cs="Calibri"/>
      <w:sz w:val="20"/>
      <w:szCs w:val="20"/>
      <w:lang w:eastAsia="pl-PL"/>
    </w:rPr>
  </w:style>
  <w:style w:type="character" w:customStyle="1" w:styleId="TeksttreciCandara95ptKursywaOdstpy0pt">
    <w:name w:val="Tekst treści + Candara;9;5 pt;Kursywa;Odstępy 0 pt"/>
    <w:rsid w:val="007770DB"/>
    <w:rPr>
      <w:rFonts w:ascii="Candara" w:eastAsia="Candara" w:hAnsi="Candara" w:cs="Candara"/>
      <w:b w:val="0"/>
      <w:bCs w:val="0"/>
      <w:i/>
      <w:iCs/>
      <w:smallCaps w:val="0"/>
      <w:strike w:val="0"/>
      <w:spacing w:val="10"/>
      <w:w w:val="100"/>
      <w:sz w:val="19"/>
      <w:szCs w:val="19"/>
      <w:shd w:val="clear" w:color="auto" w:fill="FFFFFF"/>
    </w:rPr>
  </w:style>
  <w:style w:type="paragraph" w:styleId="Mapadokumentu">
    <w:name w:val="Document Map"/>
    <w:basedOn w:val="Normalny"/>
    <w:semiHidden/>
    <w:rsid w:val="00684DB1"/>
    <w:pPr>
      <w:shd w:val="clear" w:color="auto" w:fill="000080"/>
    </w:pPr>
    <w:rPr>
      <w:rFonts w:ascii="Tahoma" w:hAnsi="Tahoma" w:cs="Tahoma"/>
      <w:sz w:val="20"/>
      <w:szCs w:val="20"/>
    </w:rPr>
  </w:style>
  <w:style w:type="paragraph" w:customStyle="1" w:styleId="ListParagraph1">
    <w:name w:val="List Paragraph1"/>
    <w:basedOn w:val="Normalny"/>
    <w:uiPriority w:val="99"/>
    <w:rsid w:val="001F7F40"/>
    <w:pPr>
      <w:spacing w:after="0" w:line="240" w:lineRule="auto"/>
      <w:ind w:left="720"/>
    </w:pPr>
    <w:rPr>
      <w:rFonts w:ascii="Times New Roman" w:eastAsia="Times New Roman" w:hAnsi="Times New Roman"/>
      <w:sz w:val="24"/>
      <w:szCs w:val="24"/>
      <w:lang w:eastAsia="pl-PL"/>
    </w:rPr>
  </w:style>
  <w:style w:type="character" w:customStyle="1" w:styleId="Teksttreci3BezkursywyOdstpy0pt">
    <w:name w:val="Tekst treści (3) + Bez kursywy;Odstępy 0 pt"/>
    <w:rsid w:val="00DC6FD4"/>
    <w:rPr>
      <w:rFonts w:ascii="Times New Roman" w:eastAsia="Times New Roman" w:hAnsi="Times New Roman" w:cs="Times New Roman"/>
      <w:b w:val="0"/>
      <w:bCs w:val="0"/>
      <w:i/>
      <w:iCs/>
      <w:smallCaps w:val="0"/>
      <w:strike w:val="0"/>
      <w:color w:val="000000"/>
      <w:spacing w:val="-1"/>
      <w:w w:val="100"/>
      <w:position w:val="0"/>
      <w:sz w:val="22"/>
      <w:szCs w:val="22"/>
      <w:u w:val="none"/>
      <w:lang w:val="pl-PL"/>
    </w:rPr>
  </w:style>
  <w:style w:type="paragraph" w:styleId="Nagwek">
    <w:name w:val="header"/>
    <w:basedOn w:val="Normalny"/>
    <w:link w:val="NagwekZnak"/>
    <w:uiPriority w:val="99"/>
    <w:unhideWhenUsed/>
    <w:rsid w:val="00595532"/>
    <w:pPr>
      <w:tabs>
        <w:tab w:val="center" w:pos="4536"/>
        <w:tab w:val="right" w:pos="9072"/>
      </w:tabs>
    </w:pPr>
  </w:style>
  <w:style w:type="character" w:customStyle="1" w:styleId="NagwekZnak">
    <w:name w:val="Nagłówek Znak"/>
    <w:link w:val="Nagwek"/>
    <w:uiPriority w:val="99"/>
    <w:rsid w:val="00595532"/>
    <w:rPr>
      <w:sz w:val="22"/>
      <w:szCs w:val="22"/>
      <w:lang w:eastAsia="en-US"/>
    </w:rPr>
  </w:style>
  <w:style w:type="character" w:customStyle="1" w:styleId="Nagwek2Znak">
    <w:name w:val="Nagłówek 2 Znak"/>
    <w:basedOn w:val="Domylnaczcionkaakapitu"/>
    <w:link w:val="Nagwek2"/>
    <w:uiPriority w:val="9"/>
    <w:rsid w:val="00B22FB9"/>
    <w:rPr>
      <w:rFonts w:asciiTheme="majorHAnsi" w:eastAsiaTheme="majorEastAsia" w:hAnsiTheme="majorHAnsi" w:cstheme="majorBidi"/>
      <w:color w:val="2E74B5" w:themeColor="accent1" w:themeShade="BF"/>
      <w:sz w:val="26"/>
      <w:szCs w:val="26"/>
      <w:lang w:eastAsia="en-US"/>
    </w:rPr>
  </w:style>
  <w:style w:type="paragraph" w:styleId="Tekstprzypisudolnego">
    <w:name w:val="footnote text"/>
    <w:aliases w:val="Tekst przypisu Znak Znak Znak Znak Znak Znak,Tekst przypisu dolnego Znak Znak Znak Znak Znak Znak Znak Znak Znak Znak Znak,Tekst przypisu dolnego Znak Znak Znak Znak Znak Znak Znak Znak Znak,Tekst przypisu Znak,Tekst przypisu"/>
    <w:basedOn w:val="Normalny"/>
    <w:link w:val="TekstprzypisudolnegoZnak"/>
    <w:uiPriority w:val="99"/>
    <w:rsid w:val="009A475D"/>
    <w:pPr>
      <w:suppressAutoHyphens/>
      <w:spacing w:after="0" w:line="240" w:lineRule="auto"/>
    </w:pPr>
    <w:rPr>
      <w:rFonts w:ascii="Times New Roman" w:eastAsia="Times New Roman" w:hAnsi="Times New Roman"/>
      <w:sz w:val="20"/>
      <w:szCs w:val="20"/>
      <w:lang w:eastAsia="zh-CN"/>
    </w:rPr>
  </w:style>
  <w:style w:type="character" w:customStyle="1" w:styleId="TekstprzypisudolnegoZnak">
    <w:name w:val="Tekst przypisu dolnego Znak"/>
    <w:aliases w:val="Tekst przypisu Znak Znak Znak Znak Znak Znak Znak,Tekst przypisu dolnego Znak Znak Znak Znak Znak Znak Znak Znak Znak Znak Znak Znak,Tekst przypisu dolnego Znak Znak Znak Znak Znak Znak Znak Znak Znak Znak"/>
    <w:basedOn w:val="Domylnaczcionkaakapitu"/>
    <w:link w:val="Tekstprzypisudolnego"/>
    <w:uiPriority w:val="99"/>
    <w:rsid w:val="009A475D"/>
    <w:rPr>
      <w:rFonts w:ascii="Times New Roman" w:eastAsia="Times New Roman" w:hAnsi="Times New Roman"/>
      <w:lang w:eastAsia="zh-CN"/>
    </w:rPr>
  </w:style>
  <w:style w:type="character" w:styleId="Odwoanieprzypisudolnego">
    <w:name w:val="footnote reference"/>
    <w:aliases w:val="Odwołanie przypisu"/>
    <w:basedOn w:val="Domylnaczcionkaakapitu"/>
    <w:uiPriority w:val="99"/>
    <w:unhideWhenUsed/>
    <w:rsid w:val="009A475D"/>
    <w:rPr>
      <w:vertAlign w:val="superscript"/>
    </w:rPr>
  </w:style>
  <w:style w:type="paragraph" w:styleId="Akapitzlist">
    <w:name w:val="List Paragraph"/>
    <w:basedOn w:val="Normalny"/>
    <w:uiPriority w:val="34"/>
    <w:qFormat/>
    <w:rsid w:val="00FF6D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37816">
      <w:bodyDiv w:val="1"/>
      <w:marLeft w:val="0"/>
      <w:marRight w:val="0"/>
      <w:marTop w:val="0"/>
      <w:marBottom w:val="0"/>
      <w:divBdr>
        <w:top w:val="none" w:sz="0" w:space="0" w:color="auto"/>
        <w:left w:val="none" w:sz="0" w:space="0" w:color="auto"/>
        <w:bottom w:val="none" w:sz="0" w:space="0" w:color="auto"/>
        <w:right w:val="none" w:sz="0" w:space="0" w:color="auto"/>
      </w:divBdr>
    </w:div>
    <w:div w:id="114192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2</Pages>
  <Words>425</Words>
  <Characters>2552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INFORMACJA O WYNIKACH KONTROLI</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WYNIKACH KONTROLI</dc:title>
  <dc:subject/>
  <dc:creator>Dariusz Szuba</dc:creator>
  <cp:keywords/>
  <cp:lastModifiedBy>Aneta Berłowska-Ocipińska</cp:lastModifiedBy>
  <cp:revision>19</cp:revision>
  <cp:lastPrinted>2025-12-31T10:26:00Z</cp:lastPrinted>
  <dcterms:created xsi:type="dcterms:W3CDTF">2025-12-16T08:45:00Z</dcterms:created>
  <dcterms:modified xsi:type="dcterms:W3CDTF">2026-02-13T08:36:00Z</dcterms:modified>
</cp:coreProperties>
</file>